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C6866" w14:textId="73D81C96" w:rsidR="001D6F3B" w:rsidRPr="00446F9D" w:rsidRDefault="009372E8" w:rsidP="0076701D">
      <w:pPr>
        <w:pStyle w:val="Header"/>
        <w:tabs>
          <w:tab w:val="clear" w:pos="4536"/>
        </w:tabs>
        <w:jc w:val="both"/>
        <w:rPr>
          <w:i/>
        </w:rPr>
      </w:pPr>
      <w:r w:rsidRPr="009372E8">
        <w:rPr>
          <w:rFonts w:eastAsiaTheme="minorEastAsia" w:hint="eastAsia"/>
          <w:sz w:val="24"/>
          <w:lang w:eastAsia="ko-KR"/>
        </w:rPr>
        <w:t xml:space="preserve">3GPP </w:t>
      </w:r>
      <w:r w:rsidR="001D6F3B" w:rsidRPr="009372E8">
        <w:rPr>
          <w:sz w:val="24"/>
        </w:rPr>
        <w:t>TSG</w:t>
      </w:r>
      <w:r w:rsidRPr="009372E8">
        <w:rPr>
          <w:rFonts w:eastAsiaTheme="minorEastAsia" w:hint="eastAsia"/>
          <w:sz w:val="24"/>
          <w:lang w:eastAsia="ko-KR"/>
        </w:rPr>
        <w:t xml:space="preserve"> </w:t>
      </w:r>
      <w:r w:rsidR="001D6F3B" w:rsidRPr="009372E8">
        <w:rPr>
          <w:sz w:val="24"/>
        </w:rPr>
        <w:t xml:space="preserve">RAN WG1 </w:t>
      </w:r>
      <w:r w:rsidRPr="009372E8">
        <w:rPr>
          <w:rFonts w:eastAsiaTheme="minorEastAsia" w:hint="eastAsia"/>
          <w:sz w:val="24"/>
          <w:lang w:eastAsia="ko-KR"/>
        </w:rPr>
        <w:t xml:space="preserve">Meeting </w:t>
      </w:r>
      <w:r w:rsidR="001D6F3B" w:rsidRPr="009372E8">
        <w:rPr>
          <w:sz w:val="24"/>
        </w:rPr>
        <w:t>#</w:t>
      </w:r>
      <w:r w:rsidR="000047F4">
        <w:rPr>
          <w:sz w:val="24"/>
        </w:rPr>
        <w:t>87</w:t>
      </w:r>
      <w:r w:rsidR="00010CE6">
        <w:rPr>
          <w:rFonts w:eastAsiaTheme="minorEastAsia" w:hint="eastAsia"/>
          <w:lang w:eastAsia="ko-KR"/>
        </w:rPr>
        <w:t xml:space="preserve">                                   </w:t>
      </w:r>
      <w:r w:rsidR="00010CE6">
        <w:rPr>
          <w:rFonts w:eastAsiaTheme="minorEastAsia"/>
          <w:lang w:eastAsia="ko-KR"/>
        </w:rPr>
        <w:tab/>
      </w:r>
      <w:r w:rsidR="00010CE6">
        <w:rPr>
          <w:rFonts w:eastAsiaTheme="minorEastAsia" w:hint="eastAsia"/>
          <w:lang w:eastAsia="ko-KR"/>
        </w:rPr>
        <w:t xml:space="preserve">   </w:t>
      </w:r>
      <w:r w:rsidRPr="009372E8">
        <w:rPr>
          <w:rFonts w:cs="Arial"/>
          <w:bCs/>
          <w:sz w:val="24"/>
        </w:rPr>
        <w:t>R1-</w:t>
      </w:r>
      <w:r w:rsidR="00C1202F">
        <w:rPr>
          <w:rFonts w:cs="Arial"/>
          <w:bCs/>
          <w:sz w:val="24"/>
        </w:rPr>
        <w:t>16</w:t>
      </w:r>
      <w:r w:rsidR="008E60D9">
        <w:rPr>
          <w:rFonts w:cs="Arial"/>
          <w:bCs/>
          <w:sz w:val="24"/>
        </w:rPr>
        <w:t>12560</w:t>
      </w:r>
    </w:p>
    <w:p w14:paraId="3FDDF0E3" w14:textId="0D05BAC0" w:rsidR="001D6F3B" w:rsidRPr="009372E8" w:rsidRDefault="00C14523" w:rsidP="0076701D">
      <w:pPr>
        <w:pStyle w:val="Header"/>
        <w:jc w:val="both"/>
        <w:rPr>
          <w:color w:val="000000"/>
          <w:sz w:val="24"/>
        </w:rPr>
      </w:pPr>
      <w:r>
        <w:rPr>
          <w:sz w:val="24"/>
        </w:rPr>
        <w:t>Reno</w:t>
      </w:r>
      <w:r w:rsidR="001D6F3B" w:rsidRPr="009372E8">
        <w:rPr>
          <w:sz w:val="24"/>
        </w:rPr>
        <w:t xml:space="preserve">, </w:t>
      </w:r>
      <w:r>
        <w:rPr>
          <w:sz w:val="24"/>
        </w:rPr>
        <w:t>US</w:t>
      </w:r>
      <w:r w:rsidR="001D6F3B" w:rsidRPr="009372E8">
        <w:rPr>
          <w:sz w:val="24"/>
        </w:rPr>
        <w:t xml:space="preserve">, </w:t>
      </w:r>
      <w:r w:rsidR="0036627B">
        <w:rPr>
          <w:sz w:val="24"/>
        </w:rPr>
        <w:t>November</w:t>
      </w:r>
      <w:r w:rsidR="008223FD">
        <w:rPr>
          <w:sz w:val="24"/>
        </w:rPr>
        <w:t xml:space="preserve"> 14 – 18</w:t>
      </w:r>
      <w:r w:rsidR="001D6F3B" w:rsidRPr="009372E8">
        <w:rPr>
          <w:sz w:val="24"/>
        </w:rPr>
        <w:t>, 2016</w:t>
      </w:r>
    </w:p>
    <w:p w14:paraId="406F1A84" w14:textId="77777777" w:rsidR="00FE5799" w:rsidRPr="000833FA" w:rsidRDefault="00FE5799" w:rsidP="0076701D">
      <w:pPr>
        <w:pStyle w:val="Header"/>
        <w:jc w:val="both"/>
      </w:pPr>
    </w:p>
    <w:p w14:paraId="015922EF" w14:textId="0E0BD481" w:rsidR="009372E8" w:rsidRPr="009372E8" w:rsidRDefault="009372E8" w:rsidP="0076701D">
      <w:pPr>
        <w:tabs>
          <w:tab w:val="left" w:pos="1985"/>
        </w:tabs>
        <w:spacing w:after="120"/>
        <w:jc w:val="both"/>
        <w:rPr>
          <w:rFonts w:ascii="Arial" w:eastAsia="Malgun Gothic" w:hAnsi="Arial" w:cs="Arial"/>
          <w:sz w:val="24"/>
          <w:lang w:eastAsia="ko-KR"/>
        </w:rPr>
      </w:pPr>
      <w:r w:rsidRPr="009372E8">
        <w:rPr>
          <w:rFonts w:ascii="Arial" w:eastAsia="Malgun Gothic" w:hAnsi="Arial" w:cs="Arial"/>
          <w:b/>
          <w:sz w:val="24"/>
          <w:lang w:eastAsia="ko-KR"/>
        </w:rPr>
        <w:t>Agenda item:</w:t>
      </w:r>
      <w:r w:rsidRPr="009372E8">
        <w:rPr>
          <w:rFonts w:ascii="Arial" w:eastAsia="Malgun Gothic" w:hAnsi="Arial" w:cs="Arial"/>
          <w:b/>
          <w:sz w:val="24"/>
          <w:lang w:eastAsia="ko-KR"/>
        </w:rPr>
        <w:tab/>
      </w:r>
      <w:r w:rsidR="00C90C67">
        <w:rPr>
          <w:rFonts w:ascii="Arial" w:eastAsia="Malgun Gothic" w:hAnsi="Arial" w:cs="Arial"/>
          <w:sz w:val="24"/>
          <w:lang w:eastAsia="ko-KR"/>
        </w:rPr>
        <w:t>7</w:t>
      </w:r>
      <w:r w:rsidR="00010CE6">
        <w:rPr>
          <w:rFonts w:ascii="Arial" w:eastAsia="Malgun Gothic" w:hAnsi="Arial" w:cs="Arial"/>
          <w:sz w:val="24"/>
          <w:lang w:eastAsia="ko-KR"/>
        </w:rPr>
        <w:t>.1.6</w:t>
      </w:r>
    </w:p>
    <w:p w14:paraId="539DCA4B" w14:textId="77777777" w:rsidR="009372E8" w:rsidRPr="009372E8" w:rsidRDefault="009372E8" w:rsidP="0076701D">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Source:</w:t>
      </w:r>
      <w:r w:rsidRPr="009372E8">
        <w:rPr>
          <w:rFonts w:ascii="Arial" w:eastAsia="Malgun Gothic" w:hAnsi="Arial" w:cs="Arial"/>
          <w:b/>
          <w:sz w:val="24"/>
          <w:lang w:eastAsia="ko-KR"/>
        </w:rPr>
        <w:tab/>
      </w:r>
      <w:r w:rsidRPr="009372E8">
        <w:rPr>
          <w:rFonts w:ascii="Arial" w:eastAsia="Malgun Gothic" w:hAnsi="Arial" w:cs="Arial"/>
          <w:sz w:val="24"/>
          <w:lang w:eastAsia="ko-KR"/>
        </w:rPr>
        <w:t>Samsung</w:t>
      </w:r>
    </w:p>
    <w:p w14:paraId="6766842C" w14:textId="72D4D6B9" w:rsidR="009372E8" w:rsidRPr="009372E8" w:rsidRDefault="009372E8" w:rsidP="0076701D">
      <w:pPr>
        <w:tabs>
          <w:tab w:val="left" w:pos="1985"/>
        </w:tabs>
        <w:spacing w:after="120"/>
        <w:jc w:val="both"/>
        <w:rPr>
          <w:rFonts w:ascii="Arial" w:eastAsia="Malgun Gothic" w:hAnsi="Arial" w:cs="Arial"/>
          <w:b/>
          <w:sz w:val="24"/>
          <w:lang w:eastAsia="ko-KR"/>
        </w:rPr>
      </w:pPr>
      <w:r w:rsidRPr="009372E8">
        <w:rPr>
          <w:rFonts w:ascii="Arial" w:eastAsia="Malgun Gothic" w:hAnsi="Arial" w:cs="Arial"/>
          <w:b/>
          <w:sz w:val="24"/>
          <w:lang w:eastAsia="ko-KR"/>
        </w:rPr>
        <w:t>Title:</w:t>
      </w:r>
      <w:r w:rsidRPr="009372E8">
        <w:rPr>
          <w:rFonts w:ascii="Arial" w:eastAsia="Malgun Gothic" w:hAnsi="Arial" w:cs="Arial"/>
          <w:b/>
          <w:sz w:val="24"/>
          <w:lang w:eastAsia="ko-KR"/>
        </w:rPr>
        <w:tab/>
      </w:r>
      <w:r w:rsidR="00010CE6">
        <w:rPr>
          <w:rFonts w:ascii="Arial" w:eastAsia="Malgun Gothic" w:hAnsi="Arial" w:cs="Arial"/>
          <w:sz w:val="24"/>
          <w:lang w:eastAsia="ko-KR"/>
        </w:rPr>
        <w:t>Views on NR duplexing</w:t>
      </w:r>
    </w:p>
    <w:p w14:paraId="62E98AFC" w14:textId="13419467" w:rsidR="009372E8" w:rsidRPr="009372E8" w:rsidRDefault="009372E8" w:rsidP="0076701D">
      <w:pPr>
        <w:pStyle w:val="Header"/>
        <w:tabs>
          <w:tab w:val="clear" w:pos="4536"/>
          <w:tab w:val="left" w:pos="1920"/>
        </w:tabs>
        <w:ind w:left="1800" w:hanging="1800"/>
        <w:jc w:val="both"/>
        <w:rPr>
          <w:rFonts w:eastAsia="Malgun Gothic" w:cs="Arial"/>
          <w:b w:val="0"/>
          <w:sz w:val="24"/>
          <w:lang w:eastAsia="ko-KR"/>
        </w:rPr>
      </w:pPr>
      <w:r w:rsidRPr="009372E8">
        <w:rPr>
          <w:rFonts w:eastAsia="Malgun Gothic" w:cs="Arial"/>
          <w:sz w:val="24"/>
          <w:lang w:eastAsia="ko-KR"/>
        </w:rPr>
        <w:t>Document for:</w:t>
      </w:r>
      <w:r w:rsidRPr="009372E8">
        <w:rPr>
          <w:rFonts w:eastAsia="Malgun Gothic" w:cs="Arial"/>
          <w:sz w:val="24"/>
          <w:lang w:eastAsia="ko-KR"/>
        </w:rPr>
        <w:tab/>
      </w:r>
      <w:r>
        <w:rPr>
          <w:rFonts w:eastAsia="Malgun Gothic" w:cs="Arial" w:hint="eastAsia"/>
          <w:sz w:val="24"/>
          <w:lang w:eastAsia="ko-KR"/>
        </w:rPr>
        <w:t xml:space="preserve">   </w:t>
      </w:r>
      <w:r w:rsidRPr="009372E8">
        <w:rPr>
          <w:rFonts w:eastAsia="Malgun Gothic" w:cs="Arial"/>
          <w:b w:val="0"/>
          <w:sz w:val="24"/>
          <w:lang w:eastAsia="ko-KR"/>
        </w:rPr>
        <w:t>Discussion</w:t>
      </w:r>
    </w:p>
    <w:p w14:paraId="3485E12E" w14:textId="77777777" w:rsidR="00FE5799" w:rsidRPr="002100D2" w:rsidRDefault="00FE5799" w:rsidP="0076701D">
      <w:pPr>
        <w:pBdr>
          <w:bottom w:val="single" w:sz="4" w:space="1" w:color="auto"/>
        </w:pBdr>
        <w:tabs>
          <w:tab w:val="left" w:pos="2552"/>
        </w:tabs>
        <w:jc w:val="both"/>
      </w:pPr>
    </w:p>
    <w:p w14:paraId="0177C6F8" w14:textId="633CEBD3" w:rsidR="00010CE6" w:rsidRDefault="00FE5799" w:rsidP="0076701D">
      <w:pPr>
        <w:pStyle w:val="Heading1"/>
        <w:spacing w:before="180"/>
        <w:ind w:left="562" w:hanging="562"/>
        <w:jc w:val="both"/>
      </w:pPr>
      <w:r>
        <w:t>Introduction</w:t>
      </w:r>
    </w:p>
    <w:p w14:paraId="3D1AE340" w14:textId="77777777" w:rsidR="00C86C6F" w:rsidRDefault="00537540" w:rsidP="009B33D3">
      <w:pPr>
        <w:pStyle w:val="Style1"/>
      </w:pPr>
      <w:r>
        <w:t>Techniques to support</w:t>
      </w:r>
      <w:r w:rsidR="000B1F13">
        <w:t xml:space="preserve"> flexible use</w:t>
      </w:r>
      <w:r>
        <w:t>s of spectrum and time resource have been proposed and discussed extensively with agreements/conclusions reached to study/support as design targets a wide range of duplexing schemes</w:t>
      </w:r>
      <w:r w:rsidR="000E54F9">
        <w:t xml:space="preserve">. </w:t>
      </w:r>
    </w:p>
    <w:p w14:paraId="2B3B8D48" w14:textId="5E523B49" w:rsidR="00C86C6F" w:rsidRPr="002449F1" w:rsidRDefault="00C86C6F" w:rsidP="00C86C6F">
      <w:pPr>
        <w:rPr>
          <w:rFonts w:eastAsia="MS Mincho"/>
          <w:b/>
          <w:i/>
          <w:u w:val="single"/>
          <w:lang w:eastAsia="ja-JP"/>
        </w:rPr>
      </w:pPr>
      <w:r w:rsidRPr="002449F1">
        <w:rPr>
          <w:rFonts w:eastAsia="MS Mincho" w:hint="eastAsia"/>
          <w:b/>
          <w:i/>
          <w:highlight w:val="green"/>
          <w:u w:val="single"/>
          <w:lang w:eastAsia="ja-JP"/>
        </w:rPr>
        <w:t>Agreements</w:t>
      </w:r>
      <w:r>
        <w:rPr>
          <w:rFonts w:eastAsia="MS Mincho"/>
          <w:b/>
          <w:i/>
          <w:highlight w:val="green"/>
          <w:u w:val="single"/>
          <w:lang w:eastAsia="ja-JP"/>
        </w:rPr>
        <w:t xml:space="preserve"> (RAN1#86)</w:t>
      </w:r>
      <w:r w:rsidRPr="002449F1">
        <w:rPr>
          <w:rFonts w:eastAsia="MS Mincho" w:hint="eastAsia"/>
          <w:b/>
          <w:i/>
          <w:highlight w:val="green"/>
          <w:u w:val="single"/>
          <w:lang w:eastAsia="ja-JP"/>
        </w:rPr>
        <w:t>:</w:t>
      </w:r>
    </w:p>
    <w:p w14:paraId="26A7C219" w14:textId="77777777" w:rsidR="00C86C6F" w:rsidRPr="002449F1" w:rsidRDefault="00C86C6F" w:rsidP="00C86C6F">
      <w:pPr>
        <w:numPr>
          <w:ilvl w:val="0"/>
          <w:numId w:val="17"/>
        </w:numPr>
        <w:rPr>
          <w:rFonts w:eastAsia="MS Mincho"/>
          <w:i/>
          <w:lang w:eastAsia="ja-JP"/>
        </w:rPr>
      </w:pPr>
      <w:r w:rsidRPr="002449F1">
        <w:rPr>
          <w:rFonts w:eastAsia="MS Mincho"/>
          <w:i/>
          <w:lang w:eastAsia="ja-JP"/>
        </w:rPr>
        <w:t xml:space="preserve">NR should </w:t>
      </w:r>
      <w:r w:rsidRPr="002449F1">
        <w:rPr>
          <w:rFonts w:eastAsia="MS Mincho" w:hint="eastAsia"/>
          <w:i/>
          <w:lang w:eastAsia="ja-JP"/>
        </w:rPr>
        <w:t>support</w:t>
      </w:r>
      <w:r w:rsidRPr="002449F1">
        <w:rPr>
          <w:rFonts w:eastAsia="MS Mincho"/>
          <w:i/>
          <w:lang w:eastAsia="ja-JP"/>
        </w:rPr>
        <w:t xml:space="preserve"> </w:t>
      </w:r>
      <w:r w:rsidRPr="002449F1">
        <w:rPr>
          <w:rFonts w:eastAsia="MS Mincho" w:hint="eastAsia"/>
          <w:i/>
          <w:lang w:eastAsia="ja-JP"/>
        </w:rPr>
        <w:t xml:space="preserve">at least </w:t>
      </w:r>
      <w:r w:rsidRPr="002449F1">
        <w:rPr>
          <w:rFonts w:eastAsia="MS Mincho"/>
          <w:i/>
          <w:lang w:eastAsia="ja-JP"/>
        </w:rPr>
        <w:t xml:space="preserve">following design targets: </w:t>
      </w:r>
    </w:p>
    <w:p w14:paraId="0CCE02BD" w14:textId="77777777" w:rsidR="00C86C6F" w:rsidRPr="002449F1" w:rsidRDefault="00C86C6F" w:rsidP="00C86C6F">
      <w:pPr>
        <w:numPr>
          <w:ilvl w:val="1"/>
          <w:numId w:val="17"/>
        </w:numPr>
        <w:rPr>
          <w:rFonts w:eastAsia="MS Mincho"/>
          <w:i/>
          <w:lang w:eastAsia="ja-JP"/>
        </w:rPr>
      </w:pPr>
      <w:r w:rsidRPr="002449F1">
        <w:rPr>
          <w:rFonts w:eastAsia="MS Mincho"/>
          <w:i/>
          <w:lang w:eastAsia="ja-JP"/>
        </w:rPr>
        <w:t xml:space="preserve">It should allow FDD operation on a paired spectrum </w:t>
      </w:r>
    </w:p>
    <w:p w14:paraId="564BD557" w14:textId="77777777" w:rsidR="00C86C6F" w:rsidRPr="002449F1" w:rsidRDefault="00C86C6F" w:rsidP="00C86C6F">
      <w:pPr>
        <w:numPr>
          <w:ilvl w:val="1"/>
          <w:numId w:val="17"/>
        </w:numPr>
        <w:rPr>
          <w:rFonts w:eastAsia="MS Mincho"/>
          <w:i/>
          <w:lang w:eastAsia="ja-JP"/>
        </w:rPr>
      </w:pPr>
      <w:r w:rsidRPr="002449F1">
        <w:rPr>
          <w:rFonts w:eastAsia="MS Mincho"/>
          <w:i/>
          <w:lang w:eastAsia="ja-JP"/>
        </w:rPr>
        <w:t>It should allow different transmission directions in either part of a paired spectrum</w:t>
      </w:r>
    </w:p>
    <w:p w14:paraId="36444BCA" w14:textId="77777777" w:rsidR="00C86C6F" w:rsidRPr="002449F1" w:rsidRDefault="00C86C6F" w:rsidP="00C86C6F">
      <w:pPr>
        <w:numPr>
          <w:ilvl w:val="1"/>
          <w:numId w:val="17"/>
        </w:numPr>
        <w:rPr>
          <w:rFonts w:eastAsia="MS Mincho"/>
          <w:i/>
          <w:lang w:eastAsia="ja-JP"/>
        </w:rPr>
      </w:pPr>
      <w:r w:rsidRPr="002449F1">
        <w:rPr>
          <w:rFonts w:eastAsia="MS Mincho"/>
          <w:i/>
          <w:lang w:eastAsia="ja-JP"/>
        </w:rPr>
        <w:t>It should allow TDD operation on an unpaired spectrum where the transmission direction of time resources is not dynamically changin</w:t>
      </w:r>
      <w:r w:rsidRPr="002449F1">
        <w:rPr>
          <w:rFonts w:eastAsia="MS Mincho" w:hint="eastAsia"/>
          <w:i/>
          <w:lang w:eastAsia="ja-JP"/>
        </w:rPr>
        <w:t>g</w:t>
      </w:r>
    </w:p>
    <w:p w14:paraId="751C4E69" w14:textId="77777777" w:rsidR="00C86C6F" w:rsidRPr="002449F1" w:rsidRDefault="00C86C6F" w:rsidP="00C86C6F">
      <w:pPr>
        <w:numPr>
          <w:ilvl w:val="1"/>
          <w:numId w:val="17"/>
        </w:numPr>
        <w:rPr>
          <w:rFonts w:eastAsia="MS Mincho"/>
          <w:i/>
          <w:lang w:eastAsia="ja-JP"/>
        </w:rPr>
      </w:pPr>
      <w:r w:rsidRPr="002449F1">
        <w:rPr>
          <w:rFonts w:eastAsia="MS Mincho"/>
          <w:i/>
          <w:lang w:eastAsia="ja-JP"/>
        </w:rPr>
        <w:t>It should allow TDD operation on an unpaired spectrum where the transmission direction of most time resources can be dynamically changing</w:t>
      </w:r>
    </w:p>
    <w:p w14:paraId="59F8FDAA" w14:textId="77777777" w:rsidR="00C86C6F" w:rsidRPr="002449F1" w:rsidRDefault="00C86C6F" w:rsidP="00C86C6F">
      <w:pPr>
        <w:numPr>
          <w:ilvl w:val="1"/>
          <w:numId w:val="17"/>
        </w:numPr>
        <w:rPr>
          <w:rFonts w:eastAsia="MS Mincho"/>
          <w:i/>
          <w:lang w:eastAsia="ja-JP"/>
        </w:rPr>
      </w:pPr>
      <w:r w:rsidRPr="002449F1">
        <w:rPr>
          <w:rFonts w:eastAsia="MS Mincho" w:hint="eastAsia"/>
          <w:i/>
          <w:lang w:eastAsia="ja-JP"/>
        </w:rPr>
        <w:t xml:space="preserve">FFS: </w:t>
      </w:r>
      <w:r w:rsidRPr="002449F1">
        <w:rPr>
          <w:rFonts w:eastAsia="MS Mincho"/>
          <w:i/>
          <w:lang w:eastAsia="ja-JP"/>
        </w:rPr>
        <w:t xml:space="preserve">It should allow support of full </w:t>
      </w:r>
      <w:r w:rsidRPr="002449F1">
        <w:rPr>
          <w:rFonts w:eastAsia="MS Mincho" w:hint="eastAsia"/>
          <w:i/>
          <w:lang w:eastAsia="ja-JP"/>
        </w:rPr>
        <w:t>duplex</w:t>
      </w:r>
      <w:r w:rsidRPr="002449F1">
        <w:rPr>
          <w:rFonts w:eastAsia="MS Mincho"/>
          <w:i/>
          <w:lang w:eastAsia="ja-JP"/>
        </w:rPr>
        <w:t xml:space="preserve"> in a forward compatible way</w:t>
      </w:r>
    </w:p>
    <w:p w14:paraId="402855C6" w14:textId="77777777" w:rsidR="00C86C6F" w:rsidRPr="002449F1" w:rsidRDefault="00C86C6F" w:rsidP="00C86C6F">
      <w:pPr>
        <w:numPr>
          <w:ilvl w:val="1"/>
          <w:numId w:val="17"/>
        </w:numPr>
        <w:rPr>
          <w:rFonts w:eastAsia="MS Mincho"/>
          <w:i/>
          <w:lang w:eastAsia="ja-JP"/>
        </w:rPr>
      </w:pPr>
      <w:r w:rsidRPr="002449F1">
        <w:rPr>
          <w:rFonts w:eastAsia="MS Mincho"/>
          <w:i/>
          <w:lang w:eastAsia="ja-JP"/>
        </w:rPr>
        <w:t xml:space="preserve">Note: transmission directions include all of downlink, uplink, sidelink, and backhaul link </w:t>
      </w:r>
    </w:p>
    <w:p w14:paraId="666F5FCC" w14:textId="77777777" w:rsidR="00C86C6F" w:rsidRPr="002449F1" w:rsidRDefault="00C86C6F" w:rsidP="00C86C6F">
      <w:pPr>
        <w:numPr>
          <w:ilvl w:val="1"/>
          <w:numId w:val="17"/>
        </w:numPr>
        <w:rPr>
          <w:rFonts w:eastAsia="MS Mincho"/>
          <w:i/>
          <w:lang w:eastAsia="ja-JP"/>
        </w:rPr>
      </w:pPr>
      <w:r w:rsidRPr="002449F1">
        <w:rPr>
          <w:rFonts w:eastAsia="MS Mincho" w:hint="eastAsia"/>
          <w:i/>
          <w:lang w:eastAsia="ja-JP"/>
        </w:rPr>
        <w:t>Note that additional discussion is needed about the timing to support above targets, particulally the second sub-bullet</w:t>
      </w:r>
    </w:p>
    <w:p w14:paraId="776B8F21" w14:textId="3446DB39" w:rsidR="00C86C6F" w:rsidRDefault="00C86C6F" w:rsidP="00C86C6F">
      <w:pPr>
        <w:numPr>
          <w:ilvl w:val="1"/>
          <w:numId w:val="17"/>
        </w:numPr>
        <w:rPr>
          <w:rFonts w:eastAsia="MS Mincho"/>
          <w:i/>
          <w:lang w:eastAsia="ja-JP"/>
        </w:rPr>
      </w:pPr>
      <w:r w:rsidRPr="002449F1">
        <w:rPr>
          <w:rFonts w:eastAsia="MS Mincho" w:hint="eastAsia"/>
          <w:i/>
          <w:lang w:eastAsia="ja-JP"/>
        </w:rPr>
        <w:t>Note that some design targets may or may not be transparent to UE</w:t>
      </w:r>
    </w:p>
    <w:p w14:paraId="1D54DF51" w14:textId="77777777" w:rsidR="00C86C6F" w:rsidRPr="00C86C6F" w:rsidRDefault="00C86C6F" w:rsidP="00C86C6F">
      <w:pPr>
        <w:ind w:left="1440"/>
        <w:rPr>
          <w:rFonts w:eastAsia="MS Mincho"/>
          <w:i/>
          <w:lang w:eastAsia="ja-JP"/>
        </w:rPr>
      </w:pPr>
    </w:p>
    <w:p w14:paraId="54CEA563" w14:textId="6B0568FB" w:rsidR="000B1F13" w:rsidRDefault="009B49AC" w:rsidP="009B33D3">
      <w:pPr>
        <w:pStyle w:val="Style1"/>
      </w:pPr>
      <w:r>
        <w:t>Besides the more conventional duplexing schemes such as FDD and TDD (static/semi-statically adaptive)</w:t>
      </w:r>
      <w:r w:rsidR="00BC3C9F">
        <w:t xml:space="preserve"> which should be naturally supported for NR</w:t>
      </w:r>
      <w:r>
        <w:t>, t</w:t>
      </w:r>
      <w:r w:rsidR="000B1F13">
        <w:t>he</w:t>
      </w:r>
      <w:r w:rsidR="0060553F">
        <w:t xml:space="preserve"> </w:t>
      </w:r>
      <w:r>
        <w:t xml:space="preserve">other </w:t>
      </w:r>
      <w:r w:rsidR="0060553F">
        <w:t xml:space="preserve">two </w:t>
      </w:r>
      <w:r w:rsidR="00537540">
        <w:t xml:space="preserve">main </w:t>
      </w:r>
      <w:r>
        <w:t xml:space="preserve">cases </w:t>
      </w:r>
      <w:r w:rsidR="00BC3C9F">
        <w:t xml:space="preserve">agreed to be supported as design targets for NR are </w:t>
      </w:r>
      <w:r w:rsidR="00402A7B">
        <w:t xml:space="preserve">the </w:t>
      </w:r>
      <w:r w:rsidR="000B1F13">
        <w:t>following:</w:t>
      </w:r>
    </w:p>
    <w:p w14:paraId="18FC55F4" w14:textId="386C52ED" w:rsidR="001E2AE3" w:rsidRDefault="001E2AE3" w:rsidP="0076701D">
      <w:pPr>
        <w:pStyle w:val="BodyText"/>
        <w:numPr>
          <w:ilvl w:val="0"/>
          <w:numId w:val="15"/>
        </w:numPr>
      </w:pPr>
      <w:r>
        <w:t>Dynamic TDD</w:t>
      </w:r>
      <w:r w:rsidR="000B1F13">
        <w:t xml:space="preserve">: This refers </w:t>
      </w:r>
      <w:r>
        <w:t>to the case where</w:t>
      </w:r>
      <w:r w:rsidR="000B1F13">
        <w:t xml:space="preserve"> dynamic allocation of time resources among UL/DL direction can be possible</w:t>
      </w:r>
      <w:r>
        <w:t xml:space="preserve"> in a TDD band</w:t>
      </w:r>
      <w:r w:rsidR="00B42608">
        <w:t xml:space="preserve"> (see e.g.</w:t>
      </w:r>
      <w:r w:rsidR="000B1F13">
        <w:t xml:space="preserve"> </w:t>
      </w:r>
      <w:r w:rsidR="008E60D9">
        <w:t>[1],[2],[3</w:t>
      </w:r>
      <w:r w:rsidR="00802230">
        <w:t>]</w:t>
      </w:r>
      <w:r w:rsidR="00A63906">
        <w:t xml:space="preserve"> </w:t>
      </w:r>
      <w:r w:rsidR="00B42608">
        <w:t>)</w:t>
      </w:r>
    </w:p>
    <w:p w14:paraId="7149EAF9" w14:textId="1991FD1E" w:rsidR="00762803" w:rsidRDefault="001E2AE3" w:rsidP="0076701D">
      <w:pPr>
        <w:pStyle w:val="BodyText"/>
        <w:numPr>
          <w:ilvl w:val="0"/>
          <w:numId w:val="15"/>
        </w:numPr>
      </w:pPr>
      <w:r>
        <w:t>Flexible duplexing on paired spectrum</w:t>
      </w:r>
      <w:r w:rsidR="000C3724">
        <w:t xml:space="preserve"> (FDP)</w:t>
      </w:r>
      <w:r>
        <w:t>: This refers to the flexibility in allowing UL/DL transmission in any FDD band</w:t>
      </w:r>
      <w:r w:rsidR="00402A7B">
        <w:t xml:space="preserve"> (see e.g. </w:t>
      </w:r>
      <w:r w:rsidR="00BC3C9F">
        <w:t>[</w:t>
      </w:r>
      <w:r w:rsidR="008E60D9">
        <w:t>3</w:t>
      </w:r>
      <w:r w:rsidR="00BC3C9F">
        <w:t>]</w:t>
      </w:r>
      <w:r w:rsidR="00402A7B">
        <w:t>)</w:t>
      </w:r>
      <w:r w:rsidR="000C3724">
        <w:t>.</w:t>
      </w:r>
    </w:p>
    <w:p w14:paraId="51B1FD2C" w14:textId="7F2ECDFF" w:rsidR="00A63906" w:rsidRDefault="00BC3C9F" w:rsidP="0076701D">
      <w:pPr>
        <w:pStyle w:val="BodyText"/>
      </w:pPr>
      <w:r>
        <w:t xml:space="preserve">Additional discussion is still needed about the timing of supporting the design targets. </w:t>
      </w:r>
      <w:r w:rsidR="00A63906">
        <w:t xml:space="preserve">In this </w:t>
      </w:r>
      <w:r w:rsidR="000C3724">
        <w:t>contribution</w:t>
      </w:r>
      <w:r w:rsidR="00A63906">
        <w:t xml:space="preserve">, we present </w:t>
      </w:r>
      <w:r w:rsidR="00402A7B">
        <w:t xml:space="preserve">our views on NR duplexing </w:t>
      </w:r>
      <w:r>
        <w:t xml:space="preserve">schemes </w:t>
      </w:r>
      <w:r w:rsidR="00402A7B">
        <w:t>and propose prioritization direction for NR</w:t>
      </w:r>
      <w:r w:rsidR="00A63906">
        <w:t>.</w:t>
      </w:r>
    </w:p>
    <w:p w14:paraId="763DA22D" w14:textId="38867351" w:rsidR="00E06FA8" w:rsidRDefault="00631DB9" w:rsidP="0076701D">
      <w:pPr>
        <w:pStyle w:val="Heading1"/>
        <w:jc w:val="both"/>
      </w:pPr>
      <w:r>
        <w:t>NR duplexing</w:t>
      </w:r>
    </w:p>
    <w:p w14:paraId="1902C697" w14:textId="56D9E737" w:rsidR="00C86C6F" w:rsidRPr="00C86C6F" w:rsidRDefault="00C86C6F" w:rsidP="00C86C6F">
      <w:pPr>
        <w:pStyle w:val="Style1"/>
        <w:ind w:firstLine="0"/>
        <w:rPr>
          <w:b/>
          <w:u w:val="single"/>
        </w:rPr>
      </w:pPr>
      <w:r w:rsidRPr="00C86C6F">
        <w:rPr>
          <w:b/>
          <w:u w:val="single"/>
        </w:rPr>
        <w:t>Flexible duplexing on paired spectrum (FDP)</w:t>
      </w:r>
    </w:p>
    <w:p w14:paraId="4071C8D5" w14:textId="0EE816AC" w:rsidR="00802230" w:rsidRDefault="00B42608" w:rsidP="00B42608">
      <w:pPr>
        <w:pStyle w:val="Style1"/>
      </w:pPr>
      <w:r>
        <w:t>The main advantage of flexible duplexing on paired spectrum is to have flexibility to perform DL on the UL FDD band.</w:t>
      </w:r>
      <w:r w:rsidR="00014FCC">
        <w:t xml:space="preserve"> </w:t>
      </w:r>
      <w:r w:rsidR="00014FCC">
        <w:rPr>
          <w:lang w:val="en-US"/>
        </w:rPr>
        <w:t xml:space="preserve">So far, </w:t>
      </w:r>
      <w:r w:rsidR="00014FCC">
        <w:t xml:space="preserve">there has been limited evaluation work on FDP. </w:t>
      </w:r>
      <w:r w:rsidR="00102A7B">
        <w:t xml:space="preserve">[5] </w:t>
      </w:r>
      <w:r>
        <w:t xml:space="preserve">evaluated flexible duplexing on UL band of a paired spectrum with dynamic allocation for an urban scenario to show </w:t>
      </w:r>
      <w:r w:rsidR="00514FFC">
        <w:t>some potential gains in average DL rate, however there is</w:t>
      </w:r>
      <w:r w:rsidR="00014FCC">
        <w:t xml:space="preserve"> also</w:t>
      </w:r>
      <w:r w:rsidR="00514FFC">
        <w:t xml:space="preserve"> </w:t>
      </w:r>
      <w:r>
        <w:t xml:space="preserve">a </w:t>
      </w:r>
      <w:r w:rsidR="00014FCC">
        <w:t xml:space="preserve">significant </w:t>
      </w:r>
      <w:r>
        <w:t xml:space="preserve">penalty on the average UL rate. </w:t>
      </w:r>
      <w:r w:rsidR="00514FFC">
        <w:t xml:space="preserve">Nevertheless, </w:t>
      </w:r>
      <w:r>
        <w:t>there are other i</w:t>
      </w:r>
      <w:r w:rsidR="00514FFC">
        <w:t>mportant issues to consider</w:t>
      </w:r>
      <w:r w:rsidR="002A49E2">
        <w:t>:</w:t>
      </w:r>
    </w:p>
    <w:p w14:paraId="140A4175" w14:textId="0C6DC729" w:rsidR="00802230" w:rsidRDefault="00335FE3" w:rsidP="002A49E2">
      <w:pPr>
        <w:pStyle w:val="Style1"/>
        <w:numPr>
          <w:ilvl w:val="0"/>
          <w:numId w:val="19"/>
        </w:numPr>
      </w:pPr>
      <w:r>
        <w:t xml:space="preserve">Previous studies </w:t>
      </w:r>
      <w:r w:rsidR="00593095">
        <w:t xml:space="preserve">on the regulatory aspects of flexible duplex </w:t>
      </w:r>
      <w:r>
        <w:t>[</w:t>
      </w:r>
      <w:r w:rsidR="008E60D9">
        <w:t>7</w:t>
      </w:r>
      <w:r>
        <w:t>]</w:t>
      </w:r>
      <w:r w:rsidR="00593095">
        <w:t xml:space="preserve"> indicate that most regions in the world </w:t>
      </w:r>
      <w:r w:rsidR="00D23096">
        <w:t xml:space="preserve">either </w:t>
      </w:r>
      <w:r w:rsidR="00593095">
        <w:t>do not allow</w:t>
      </w:r>
      <w:r w:rsidR="00D23096">
        <w:t>,</w:t>
      </w:r>
      <w:r w:rsidR="00593095">
        <w:t xml:space="preserve"> </w:t>
      </w:r>
      <w:r w:rsidR="00D23096">
        <w:t xml:space="preserve">or impose severe restrictions, on </w:t>
      </w:r>
      <w:r w:rsidR="00593095">
        <w:t>the u</w:t>
      </w:r>
      <w:r w:rsidR="0027015F">
        <w:t>se of FDD uplink as downlink and</w:t>
      </w:r>
      <w:r w:rsidR="00593095">
        <w:t xml:space="preserve"> </w:t>
      </w:r>
      <w:r w:rsidR="0027015F">
        <w:t>vice versa</w:t>
      </w:r>
      <w:r w:rsidR="00593095">
        <w:t xml:space="preserve">. </w:t>
      </w:r>
      <w:r w:rsidR="0027015F">
        <w:t xml:space="preserve">For example, the use of FDD uplink as downlink and vice versa is </w:t>
      </w:r>
      <w:r w:rsidR="00B13F5F">
        <w:t>not allowed</w:t>
      </w:r>
      <w:r w:rsidR="0027015F">
        <w:t xml:space="preserve"> in Europe</w:t>
      </w:r>
      <w:r w:rsidR="00394864">
        <w:t xml:space="preserve"> and Japan</w:t>
      </w:r>
      <w:r w:rsidR="0027015F">
        <w:t xml:space="preserve">. In </w:t>
      </w:r>
      <w:r w:rsidR="0027015F">
        <w:lastRenderedPageBreak/>
        <w:t>the US,</w:t>
      </w:r>
      <w:r w:rsidR="009A7096">
        <w:t xml:space="preserve"> restrictions vary depending on the specific UL bands; e.g. fixed transmission </w:t>
      </w:r>
      <w:r w:rsidR="00265367">
        <w:t>(</w:t>
      </w:r>
      <w:r w:rsidR="009A7096">
        <w:t>and therefore downlink operation</w:t>
      </w:r>
      <w:r w:rsidR="00265367">
        <w:t>)</w:t>
      </w:r>
      <w:r w:rsidR="009A7096">
        <w:t xml:space="preserve"> is not allowed in </w:t>
      </w:r>
      <w:r w:rsidR="0027015F">
        <w:t>814-824 MHz, 1695-1710</w:t>
      </w:r>
      <w:r w:rsidR="009A7096">
        <w:t xml:space="preserve"> MHz, and 1755-1780 MHz</w:t>
      </w:r>
      <w:r w:rsidR="00B13F5F">
        <w:t xml:space="preserve">. </w:t>
      </w:r>
      <w:r w:rsidR="009A7096">
        <w:t>Although</w:t>
      </w:r>
      <w:r w:rsidR="0027015F">
        <w:t xml:space="preserve"> fixed transmissions </w:t>
      </w:r>
      <w:r w:rsidR="009A7096">
        <w:t xml:space="preserve">or downlink operation </w:t>
      </w:r>
      <w:r w:rsidR="0027015F">
        <w:t>are permitted in 1710-1755 MHz and 1915-1920 MHz, the allo</w:t>
      </w:r>
      <w:r w:rsidR="009A7096">
        <w:t>wed transmit power is the same as the UE’s. In addition base stations</w:t>
      </w:r>
      <w:r w:rsidR="0027015F">
        <w:t xml:space="preserve"> in 1710-1755 MHz are </w:t>
      </w:r>
      <w:r w:rsidR="009A7096">
        <w:t xml:space="preserve">only </w:t>
      </w:r>
      <w:r w:rsidR="0027015F">
        <w:t>limited</w:t>
      </w:r>
      <w:r w:rsidR="00B13F5F">
        <w:t xml:space="preserve"> to a 10 m AGL </w:t>
      </w:r>
      <w:r w:rsidR="00265367">
        <w:t xml:space="preserve">(Above Ground Level) </w:t>
      </w:r>
      <w:r w:rsidR="00B13F5F">
        <w:t>antenna height.</w:t>
      </w:r>
      <w:r w:rsidR="00802230">
        <w:t xml:space="preserve">  </w:t>
      </w:r>
    </w:p>
    <w:p w14:paraId="329C15D1" w14:textId="77777777" w:rsidR="008902AC" w:rsidRDefault="002A49E2" w:rsidP="00802230">
      <w:pPr>
        <w:pStyle w:val="Style1"/>
        <w:numPr>
          <w:ilvl w:val="0"/>
          <w:numId w:val="19"/>
        </w:numPr>
      </w:pPr>
      <w:r>
        <w:t xml:space="preserve">The regulatory constraints mean that the market for device capable of flexible duplex will be very limited. </w:t>
      </w:r>
    </w:p>
    <w:p w14:paraId="2BE41576" w14:textId="28FDD2FC" w:rsidR="00802230" w:rsidRDefault="007A2452" w:rsidP="00802230">
      <w:pPr>
        <w:pStyle w:val="Style1"/>
        <w:numPr>
          <w:ilvl w:val="0"/>
          <w:numId w:val="19"/>
        </w:numPr>
      </w:pPr>
      <w:r>
        <w:t xml:space="preserve">Even in the regions </w:t>
      </w:r>
      <w:r w:rsidR="00802230">
        <w:t xml:space="preserve">where flexible duplexing is permitted, </w:t>
      </w:r>
      <w:r>
        <w:t xml:space="preserve">the available frequency bands and the applicable </w:t>
      </w:r>
      <w:r w:rsidR="00802230">
        <w:t xml:space="preserve">deployment scenarios </w:t>
      </w:r>
      <w:r>
        <w:t>will be severely limited as a result of the regulatory constraints on either the tx power or the antenna height for gNB operating DL in UL bands</w:t>
      </w:r>
      <w:r w:rsidR="008902AC">
        <w:t>. T</w:t>
      </w:r>
      <w:r w:rsidR="00802230">
        <w:t>he potential performance gain of flexible duplex</w:t>
      </w:r>
      <w:r>
        <w:t xml:space="preserve"> would be</w:t>
      </w:r>
      <w:r w:rsidR="00802230">
        <w:t xml:space="preserve"> </w:t>
      </w:r>
      <w:r>
        <w:t>marginal</w:t>
      </w:r>
      <w:r w:rsidR="008902AC">
        <w:t xml:space="preserve"> as a result</w:t>
      </w:r>
      <w:r w:rsidR="00340512">
        <w:t>.</w:t>
      </w:r>
    </w:p>
    <w:p w14:paraId="290DBBD5" w14:textId="42D81ED1" w:rsidR="002A49E2" w:rsidRDefault="002A49E2" w:rsidP="00802230">
      <w:pPr>
        <w:pStyle w:val="Style1"/>
        <w:numPr>
          <w:ilvl w:val="0"/>
          <w:numId w:val="19"/>
        </w:numPr>
      </w:pPr>
      <w:r>
        <w:t xml:space="preserve">Co-existence </w:t>
      </w:r>
      <w:r w:rsidR="00FC7497">
        <w:t xml:space="preserve">handling </w:t>
      </w:r>
      <w:r>
        <w:t xml:space="preserve">with legacy </w:t>
      </w:r>
      <w:r w:rsidR="004421D6">
        <w:t xml:space="preserve">FDD LTE </w:t>
      </w:r>
      <w:r w:rsidR="00C47417">
        <w:t>is non-trivial. C</w:t>
      </w:r>
      <w:r w:rsidR="004421D6">
        <w:t>ross-link interference</w:t>
      </w:r>
      <w:r w:rsidR="00C47417">
        <w:t xml:space="preserve"> mitigation options are limited due to backward compatibility constraint.</w:t>
      </w:r>
      <w:r w:rsidR="004421D6">
        <w:t xml:space="preserve"> </w:t>
      </w:r>
    </w:p>
    <w:p w14:paraId="27A3893D" w14:textId="56C9979B" w:rsidR="00B42608" w:rsidRDefault="002A058F" w:rsidP="002A058F">
      <w:pPr>
        <w:pStyle w:val="Style1"/>
      </w:pPr>
      <w:r>
        <w:t xml:space="preserve">Based on the above and given </w:t>
      </w:r>
      <w:r w:rsidR="00B42608">
        <w:t>the limited time</w:t>
      </w:r>
      <w:r>
        <w:t xml:space="preserve"> for NR standardization, we propose to deprioritize further study and standardization effort of</w:t>
      </w:r>
      <w:r w:rsidR="00B42608">
        <w:t xml:space="preserve"> flexible duplexing on paired spectrum, at least, </w:t>
      </w:r>
      <w:r>
        <w:t>for NR Phase 1</w:t>
      </w:r>
      <w:r w:rsidR="00B42608">
        <w:t>.</w:t>
      </w:r>
    </w:p>
    <w:p w14:paraId="1249AD87" w14:textId="48C0353E" w:rsidR="00B42608" w:rsidRDefault="002A058F" w:rsidP="002A058F">
      <w:pPr>
        <w:pStyle w:val="BodyText"/>
        <w:rPr>
          <w:b/>
        </w:rPr>
      </w:pPr>
      <w:r>
        <w:rPr>
          <w:b/>
        </w:rPr>
        <w:t>Proposal 1</w:t>
      </w:r>
      <w:r w:rsidR="00B42608" w:rsidRPr="00AC17CC">
        <w:rPr>
          <w:b/>
        </w:rPr>
        <w:t xml:space="preserve">: </w:t>
      </w:r>
      <w:r>
        <w:rPr>
          <w:b/>
        </w:rPr>
        <w:t>Further study and standardization effort on flexible duplexing on paired spectrum should be deprioritized for NR, at least for Phase 1.</w:t>
      </w:r>
    </w:p>
    <w:p w14:paraId="2A4FBBC2" w14:textId="77777777" w:rsidR="002A058F" w:rsidRDefault="002A058F" w:rsidP="002A058F">
      <w:pPr>
        <w:pStyle w:val="BodyText"/>
      </w:pPr>
    </w:p>
    <w:p w14:paraId="72A7429B" w14:textId="547A0949" w:rsidR="002A058F" w:rsidRPr="002A058F" w:rsidRDefault="002A058F" w:rsidP="002A058F">
      <w:pPr>
        <w:pStyle w:val="Style1"/>
        <w:ind w:firstLine="0"/>
        <w:rPr>
          <w:b/>
          <w:u w:val="single"/>
        </w:rPr>
      </w:pPr>
      <w:r>
        <w:rPr>
          <w:b/>
          <w:u w:val="single"/>
        </w:rPr>
        <w:t>Dynamic TDD</w:t>
      </w:r>
    </w:p>
    <w:p w14:paraId="033EE5FF" w14:textId="25F930EF" w:rsidR="00DD46AB" w:rsidRDefault="005E1F97" w:rsidP="00DD46AB">
      <w:pPr>
        <w:pStyle w:val="Style1"/>
      </w:pPr>
      <w:r>
        <w:t xml:space="preserve">Dynamic TDD provides flexible allocation of UL/DL time resources which provide significant advantage when traffic is not symmetric and </w:t>
      </w:r>
      <w:r w:rsidR="00E51D15">
        <w:t>is dynamic</w:t>
      </w:r>
      <w:r>
        <w:t>. However, if the neighboring cells have different transmission direction</w:t>
      </w:r>
      <w:r w:rsidR="00F94754">
        <w:t>s</w:t>
      </w:r>
      <w:r>
        <w:t>, there is additional cross</w:t>
      </w:r>
      <w:r w:rsidR="0046796D">
        <w:rPr>
          <w:rFonts w:hint="eastAsia"/>
          <w:lang w:eastAsia="ko-KR"/>
        </w:rPr>
        <w:t>-</w:t>
      </w:r>
      <w:r>
        <w:t xml:space="preserve">link </w:t>
      </w:r>
      <w:r w:rsidR="00AD69EE">
        <w:t>interference</w:t>
      </w:r>
      <w:r>
        <w:t xml:space="preserve"> </w:t>
      </w:r>
      <w:r w:rsidR="005B425B">
        <w:t xml:space="preserve">(CCI) </w:t>
      </w:r>
      <w:r>
        <w:t xml:space="preserve">which can degrade SINR performance. </w:t>
      </w:r>
      <w:r w:rsidR="00DD46AB">
        <w:t>There are two types of CCI</w:t>
      </w:r>
      <w:r w:rsidR="00C6259A">
        <w:t xml:space="preserve"> due to dynamic</w:t>
      </w:r>
      <w:r w:rsidR="00DD46AB">
        <w:t xml:space="preserve"> TDD, UL-to-DL interfer</w:t>
      </w:r>
      <w:r w:rsidR="00E74E7A">
        <w:t xml:space="preserve">ence and DL-to-UL interference, as </w:t>
      </w:r>
      <w:r w:rsidR="00DD46AB">
        <w:t xml:space="preserve">shown in Figure 1. </w:t>
      </w:r>
      <w:r w:rsidR="005B425B">
        <w:t>BS</w:t>
      </w:r>
      <w:r w:rsidR="00DD46AB">
        <w:t xml:space="preserve"> 1 is transmitting to UE A in downlink direction and </w:t>
      </w:r>
      <w:r w:rsidR="005B425B">
        <w:t>BS</w:t>
      </w:r>
      <w:r w:rsidR="00DD46AB">
        <w:t xml:space="preserve"> 2 is receiving signal from U</w:t>
      </w:r>
      <w:bookmarkStart w:id="0" w:name="_GoBack"/>
      <w:bookmarkEnd w:id="0"/>
      <w:r w:rsidR="00DD46AB">
        <w:t xml:space="preserve">E B in uplink direction. The transmission from </w:t>
      </w:r>
      <w:r w:rsidR="005B425B">
        <w:t>BS</w:t>
      </w:r>
      <w:r w:rsidR="00DD46AB">
        <w:t xml:space="preserve"> 1 would cause DL-to-UL interference to BS</w:t>
      </w:r>
      <w:r w:rsidR="005B425B">
        <w:t xml:space="preserve"> </w:t>
      </w:r>
      <w:r w:rsidR="00DD46AB">
        <w:t xml:space="preserve">2. The transmission from UE B would cause UL-to-DL interference to UE A. </w:t>
      </w:r>
    </w:p>
    <w:p w14:paraId="1F0A09E2" w14:textId="77777777" w:rsidR="00DD46AB" w:rsidRDefault="00DD46AB" w:rsidP="00DD46AB">
      <w:pPr>
        <w:pStyle w:val="Style1"/>
        <w:jc w:val="center"/>
      </w:pPr>
      <w:r w:rsidRPr="00AB7125">
        <w:rPr>
          <w:noProof/>
          <w:lang w:val="en-US" w:eastAsia="zh-CN"/>
        </w:rPr>
        <w:drawing>
          <wp:inline distT="0" distB="0" distL="0" distR="0" wp14:anchorId="7C8C99EF" wp14:editId="38FA6C9F">
            <wp:extent cx="4201160" cy="128381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8"/>
                    <a:stretch>
                      <a:fillRect/>
                    </a:stretch>
                  </pic:blipFill>
                  <pic:spPr>
                    <a:xfrm>
                      <a:off x="0" y="0"/>
                      <a:ext cx="4208879" cy="1286176"/>
                    </a:xfrm>
                    <a:prstGeom prst="rect">
                      <a:avLst/>
                    </a:prstGeom>
                  </pic:spPr>
                </pic:pic>
              </a:graphicData>
            </a:graphic>
          </wp:inline>
        </w:drawing>
      </w:r>
    </w:p>
    <w:p w14:paraId="5F29D6F4" w14:textId="77777777" w:rsidR="00DD46AB" w:rsidRPr="00AB7125" w:rsidRDefault="00DD46AB" w:rsidP="00DD46AB">
      <w:pPr>
        <w:pStyle w:val="Style1"/>
        <w:jc w:val="center"/>
        <w:rPr>
          <w:b/>
        </w:rPr>
      </w:pPr>
      <w:r w:rsidRPr="00AB7125">
        <w:rPr>
          <w:b/>
        </w:rPr>
        <w:t>Figure 1</w:t>
      </w:r>
    </w:p>
    <w:p w14:paraId="7DAD7A6F" w14:textId="74703193" w:rsidR="00DD46AB" w:rsidRDefault="00DD46AB" w:rsidP="00616B97">
      <w:pPr>
        <w:pStyle w:val="Style1"/>
      </w:pPr>
      <w:r>
        <w:t>In CCI, the interference signal strength could be higher than the signal strength. In the example of Figure 1, the transmit power of gNB (e.g. 43dBm, 33dBm) is higher than that of the UE (e.g. 23dBm). The path between BS</w:t>
      </w:r>
      <w:r w:rsidR="00E74E7A">
        <w:t xml:space="preserve"> </w:t>
      </w:r>
      <w:r>
        <w:t xml:space="preserve">1 and </w:t>
      </w:r>
      <w:r w:rsidR="00E74E7A">
        <w:t>BS</w:t>
      </w:r>
      <w:r>
        <w:t xml:space="preserve"> 2 could have higher LOS probability than that of the link between UE B and </w:t>
      </w:r>
      <w:r w:rsidR="00E74E7A">
        <w:t>BS</w:t>
      </w:r>
      <w:r>
        <w:t xml:space="preserve"> 2. Nevertheless, through implementation approaches such as transmit beamforming/precoding at the aggressor </w:t>
      </w:r>
      <w:r w:rsidR="00E74E7A">
        <w:t>BS</w:t>
      </w:r>
      <w:r>
        <w:t xml:space="preserve"> (FD-MIMO for &lt;6GHz or hybrid beamforming for &gt;6GHz), and/or receive beamforming at the victim gNB, DL-to-UL CCI can be suppressed to a certain extent. On the UL-to-DL interference, when the UE A is very close to UE B, the strength of interference from UE B could be higher than that of the DL signal from gNB 1 despite the lower Tx </w:t>
      </w:r>
      <w:r>
        <w:lastRenderedPageBreak/>
        <w:t>power of UE B due to smaller path loss and potential LOS between UE A and UE B. An important observation in this case is that UL-to-DL CCI is UE specific as it depends on the locations of UE A and UE B.</w:t>
      </w:r>
    </w:p>
    <w:p w14:paraId="27473ABC" w14:textId="6E85C124" w:rsidR="009F66BD" w:rsidRPr="00E94877" w:rsidRDefault="00616B97" w:rsidP="00E03A6E">
      <w:pPr>
        <w:pStyle w:val="Style1"/>
      </w:pPr>
      <w:r>
        <w:t>Nevertheless</w:t>
      </w:r>
      <w:r w:rsidR="00E74E7A">
        <w:t>,</w:t>
      </w:r>
      <w:r>
        <w:t xml:space="preserve"> </w:t>
      </w:r>
      <w:r w:rsidR="00E74E7A">
        <w:t>dynamic TDD has been</w:t>
      </w:r>
      <w:r w:rsidR="00E42ACF">
        <w:t xml:space="preserve"> shown to achieve rate gain for hot spot models </w:t>
      </w:r>
      <w:r w:rsidR="005A5416">
        <w:t>[</w:t>
      </w:r>
      <w:r w:rsidR="00E94877">
        <w:t>4</w:t>
      </w:r>
      <w:r w:rsidR="005A5416">
        <w:t>] and urban scenarios [</w:t>
      </w:r>
      <w:r w:rsidR="00E94877">
        <w:t>5</w:t>
      </w:r>
      <w:r w:rsidR="005A5416">
        <w:t xml:space="preserve">] </w:t>
      </w:r>
      <w:r w:rsidR="00E74E7A">
        <w:t>when</w:t>
      </w:r>
      <w:r w:rsidR="00E42ACF">
        <w:t xml:space="preserve"> cross</w:t>
      </w:r>
      <w:r w:rsidR="0046796D">
        <w:rPr>
          <w:rFonts w:hint="eastAsia"/>
          <w:lang w:eastAsia="ko-KR"/>
        </w:rPr>
        <w:t>-</w:t>
      </w:r>
      <w:r w:rsidR="00E42ACF">
        <w:t>link interference mitigation scheme</w:t>
      </w:r>
      <w:r w:rsidR="00E74E7A">
        <w:t xml:space="preserve"> is applied</w:t>
      </w:r>
      <w:r w:rsidR="008E60D9">
        <w:t xml:space="preserve"> (see also [6])</w:t>
      </w:r>
      <w:r w:rsidR="00E42ACF">
        <w:t>.</w:t>
      </w:r>
      <w:r w:rsidR="00863C59">
        <w:t xml:space="preserve"> It is clear that interference coordination or mitigation is crucial to get the reasonable gains from dynamic TDD</w:t>
      </w:r>
      <w:r w:rsidR="00E74E7A">
        <w:t>.</w:t>
      </w:r>
      <w:r w:rsidR="00E2377B">
        <w:t xml:space="preserve"> </w:t>
      </w:r>
      <w:r w:rsidR="00E03A6E">
        <w:t>It should also be noted that d</w:t>
      </w:r>
      <w:r w:rsidR="00E74E7A">
        <w:t xml:space="preserve">ynamic TDD </w:t>
      </w:r>
      <w:r w:rsidR="00E03A6E">
        <w:t>can be</w:t>
      </w:r>
      <w:r w:rsidR="0070262F">
        <w:t xml:space="preserve"> beneficial for </w:t>
      </w:r>
      <w:r w:rsidR="00E03A6E">
        <w:t xml:space="preserve">achieving </w:t>
      </w:r>
      <w:r w:rsidR="0070262F">
        <w:t>latency reduction</w:t>
      </w:r>
      <w:r w:rsidR="00E03A6E">
        <w:t xml:space="preserve"> when URLLC and eMBB services are supported </w:t>
      </w:r>
      <w:r w:rsidR="00E94877">
        <w:t>[2]</w:t>
      </w:r>
      <w:r w:rsidR="00E03A6E">
        <w:t>. Overall, t</w:t>
      </w:r>
      <w:r w:rsidR="009F66BD">
        <w:t>he use of dynamic TDD looks promising for NR, both in throughput improvement and latency reductions.</w:t>
      </w:r>
      <w:r w:rsidR="00E94877">
        <w:t xml:space="preserve"> Therefore, we propose that d</w:t>
      </w:r>
      <w:r w:rsidR="00E94877" w:rsidRPr="00E94877">
        <w:t>ynamic/semi-static TDD adaptation should be prioritized for further study and standardization effort on cross-link interference mitigation</w:t>
      </w:r>
      <w:r w:rsidR="00E94877">
        <w:t>.</w:t>
      </w:r>
    </w:p>
    <w:p w14:paraId="535716AF" w14:textId="542D86D5" w:rsidR="00AC17CC" w:rsidRDefault="00DD46AB" w:rsidP="00E639BD">
      <w:pPr>
        <w:pStyle w:val="BodyText"/>
        <w:rPr>
          <w:b/>
        </w:rPr>
      </w:pPr>
      <w:r>
        <w:rPr>
          <w:b/>
        </w:rPr>
        <w:t>Proposal 2</w:t>
      </w:r>
      <w:r w:rsidR="009F66BD" w:rsidRPr="009F66BD">
        <w:rPr>
          <w:b/>
        </w:rPr>
        <w:t xml:space="preserve">: </w:t>
      </w:r>
      <w:r w:rsidR="0070262F">
        <w:rPr>
          <w:b/>
        </w:rPr>
        <w:t>Dynamic/semi-static TDD adaptation should be prioritized for f</w:t>
      </w:r>
      <w:r>
        <w:rPr>
          <w:b/>
        </w:rPr>
        <w:t>urther study and standardization effort on cross-</w:t>
      </w:r>
      <w:r w:rsidR="0070262F">
        <w:rPr>
          <w:b/>
        </w:rPr>
        <w:t>link interference mitigation</w:t>
      </w:r>
      <w:r w:rsidR="009F66BD" w:rsidRPr="009F66BD">
        <w:rPr>
          <w:b/>
        </w:rPr>
        <w:t>.</w:t>
      </w:r>
    </w:p>
    <w:p w14:paraId="4024E5FE" w14:textId="1EF26420" w:rsidR="00C101DC" w:rsidRDefault="0071574D" w:rsidP="00C101DC">
      <w:pPr>
        <w:pStyle w:val="Heading1"/>
        <w:jc w:val="both"/>
      </w:pPr>
      <w:r>
        <w:t>Conclusion</w:t>
      </w:r>
    </w:p>
    <w:p w14:paraId="17D36AF9" w14:textId="1B56A428" w:rsidR="00E639BD" w:rsidRPr="00C101DC" w:rsidRDefault="00C101DC" w:rsidP="00C101DC">
      <w:pPr>
        <w:pStyle w:val="Style1"/>
      </w:pPr>
      <w:r>
        <w:t>In this contribution, our views on flexible duplexing on pair spectrum and dynamic TDD are presented with the following proposals:</w:t>
      </w:r>
    </w:p>
    <w:p w14:paraId="70F9AA80" w14:textId="398B6549" w:rsidR="00E639BD" w:rsidRPr="00A529BC" w:rsidRDefault="00E639BD" w:rsidP="0071574D">
      <w:pPr>
        <w:pStyle w:val="BodyText"/>
        <w:rPr>
          <w:b/>
        </w:rPr>
      </w:pPr>
      <w:r>
        <w:rPr>
          <w:b/>
        </w:rPr>
        <w:t>Proposal 1</w:t>
      </w:r>
      <w:r w:rsidRPr="00AC17CC">
        <w:rPr>
          <w:b/>
        </w:rPr>
        <w:t xml:space="preserve">: </w:t>
      </w:r>
      <w:r>
        <w:rPr>
          <w:b/>
        </w:rPr>
        <w:t>Further study and standardization effort on flexible duplexing on paired spectrum should be deprioritized for NR, at least for Phase 1.</w:t>
      </w:r>
    </w:p>
    <w:p w14:paraId="1C2994F7" w14:textId="33B96495" w:rsidR="00E639BD" w:rsidRPr="00A529BC" w:rsidRDefault="00E639BD" w:rsidP="0071574D">
      <w:pPr>
        <w:pStyle w:val="BodyText"/>
        <w:rPr>
          <w:b/>
        </w:rPr>
      </w:pPr>
      <w:r>
        <w:rPr>
          <w:b/>
        </w:rPr>
        <w:t>Proposal 2</w:t>
      </w:r>
      <w:r w:rsidRPr="009F66BD">
        <w:rPr>
          <w:b/>
        </w:rPr>
        <w:t xml:space="preserve">: </w:t>
      </w:r>
      <w:r>
        <w:rPr>
          <w:b/>
        </w:rPr>
        <w:t>Dynamic/semi-static TDD adaptation should be prioritized for further study and standardization effort on cross-link interference mitigation</w:t>
      </w:r>
      <w:r w:rsidRPr="009F66BD">
        <w:rPr>
          <w:b/>
        </w:rPr>
        <w:t>.</w:t>
      </w:r>
    </w:p>
    <w:p w14:paraId="0ACCE1FD" w14:textId="19A9F1F4" w:rsidR="005A5416" w:rsidRDefault="005A5416" w:rsidP="005A5416">
      <w:pPr>
        <w:pStyle w:val="Heading1"/>
        <w:jc w:val="both"/>
      </w:pPr>
      <w:r>
        <w:t>References</w:t>
      </w:r>
    </w:p>
    <w:p w14:paraId="076362AB" w14:textId="77729857" w:rsidR="005A5416" w:rsidRDefault="005A5416" w:rsidP="0071574D">
      <w:pPr>
        <w:pStyle w:val="BodyText"/>
        <w:rPr>
          <w:i/>
          <w:iCs/>
          <w:noProof/>
        </w:rPr>
      </w:pPr>
      <w:r>
        <w:t xml:space="preserve">[1] </w:t>
      </w:r>
      <w:r>
        <w:rPr>
          <w:noProof/>
        </w:rPr>
        <w:t xml:space="preserve">R1-1609125, "Inter-cell interference management for uncoordinated TDD," </w:t>
      </w:r>
      <w:r>
        <w:rPr>
          <w:i/>
          <w:iCs/>
          <w:noProof/>
        </w:rPr>
        <w:t>Samsung</w:t>
      </w:r>
    </w:p>
    <w:p w14:paraId="1EB3EC07" w14:textId="1F951705" w:rsidR="005A5416" w:rsidRPr="005A5416" w:rsidRDefault="005A5416" w:rsidP="0071574D">
      <w:pPr>
        <w:pStyle w:val="BodyText"/>
      </w:pPr>
      <w:r w:rsidRPr="005A5416">
        <w:rPr>
          <w:iCs/>
          <w:noProof/>
        </w:rPr>
        <w:t>[2] R1-</w:t>
      </w:r>
      <w:r w:rsidR="00F32F0C" w:rsidRPr="005A5416">
        <w:rPr>
          <w:iCs/>
          <w:noProof/>
        </w:rPr>
        <w:t>16</w:t>
      </w:r>
      <w:r w:rsidR="00F32F0C">
        <w:rPr>
          <w:rFonts w:eastAsiaTheme="minorEastAsia" w:hint="eastAsia"/>
          <w:iCs/>
          <w:noProof/>
          <w:lang w:eastAsia="ko-KR"/>
        </w:rPr>
        <w:t>12567</w:t>
      </w:r>
      <w:r>
        <w:rPr>
          <w:iCs/>
          <w:noProof/>
        </w:rPr>
        <w:t>, “Dynamic TDD for latency reduction</w:t>
      </w:r>
      <w:r w:rsidR="00F32F0C">
        <w:rPr>
          <w:rFonts w:eastAsiaTheme="minorEastAsia" w:hint="eastAsia"/>
          <w:iCs/>
          <w:noProof/>
          <w:lang w:eastAsia="ko-KR"/>
        </w:rPr>
        <w:t xml:space="preserve"> in DL</w:t>
      </w:r>
      <w:r>
        <w:rPr>
          <w:iCs/>
          <w:noProof/>
        </w:rPr>
        <w:t xml:space="preserve">”, </w:t>
      </w:r>
      <w:r w:rsidRPr="005A5416">
        <w:rPr>
          <w:i/>
          <w:iCs/>
          <w:noProof/>
        </w:rPr>
        <w:t>Samsung</w:t>
      </w:r>
    </w:p>
    <w:p w14:paraId="393098EF" w14:textId="7DC930BC" w:rsidR="005A5416" w:rsidRDefault="005A5416" w:rsidP="0071574D">
      <w:pPr>
        <w:pStyle w:val="BodyText"/>
        <w:rPr>
          <w:i/>
          <w:iCs/>
          <w:noProof/>
        </w:rPr>
      </w:pPr>
      <w:r>
        <w:t>[</w:t>
      </w:r>
      <w:r w:rsidR="00E94877">
        <w:t>3</w:t>
      </w:r>
      <w:r>
        <w:t xml:space="preserve">] </w:t>
      </w:r>
      <w:r>
        <w:rPr>
          <w:noProof/>
        </w:rPr>
        <w:t xml:space="preserve">R1-1609421, "General discussion on flexible duplex," </w:t>
      </w:r>
      <w:r>
        <w:rPr>
          <w:i/>
          <w:iCs/>
          <w:noProof/>
        </w:rPr>
        <w:t>Huawei, HiSilicon</w:t>
      </w:r>
    </w:p>
    <w:p w14:paraId="2AB9256D" w14:textId="01365060" w:rsidR="005A5416" w:rsidRDefault="005A5416" w:rsidP="0071574D">
      <w:pPr>
        <w:pStyle w:val="BodyText"/>
        <w:rPr>
          <w:i/>
          <w:iCs/>
          <w:noProof/>
        </w:rPr>
      </w:pPr>
      <w:r>
        <w:rPr>
          <w:noProof/>
        </w:rPr>
        <w:t>[</w:t>
      </w:r>
      <w:r w:rsidR="00E94877">
        <w:rPr>
          <w:noProof/>
        </w:rPr>
        <w:t>4</w:t>
      </w:r>
      <w:r>
        <w:rPr>
          <w:noProof/>
        </w:rPr>
        <w:t>] R1-1609422, "Evalua</w:t>
      </w:r>
      <w:r w:rsidR="00C80C9A">
        <w:rPr>
          <w:noProof/>
        </w:rPr>
        <w:t>tion of flexible duplex in indo</w:t>
      </w:r>
      <w:r>
        <w:rPr>
          <w:noProof/>
        </w:rPr>
        <w:t xml:space="preserve">or hotspot scenario," </w:t>
      </w:r>
      <w:r>
        <w:rPr>
          <w:i/>
          <w:iCs/>
          <w:noProof/>
        </w:rPr>
        <w:t>Huawei, HiSilicon</w:t>
      </w:r>
    </w:p>
    <w:p w14:paraId="7F4FCF14" w14:textId="7B6AA408" w:rsidR="005A5416" w:rsidRDefault="005A5416" w:rsidP="0071574D">
      <w:pPr>
        <w:pStyle w:val="BodyText"/>
        <w:rPr>
          <w:i/>
          <w:iCs/>
          <w:noProof/>
        </w:rPr>
      </w:pPr>
      <w:r w:rsidRPr="005A5416">
        <w:rPr>
          <w:iCs/>
          <w:noProof/>
        </w:rPr>
        <w:t>[</w:t>
      </w:r>
      <w:r w:rsidR="00E94877">
        <w:rPr>
          <w:iCs/>
          <w:noProof/>
        </w:rPr>
        <w:t>5</w:t>
      </w:r>
      <w:r w:rsidRPr="005A5416">
        <w:rPr>
          <w:iCs/>
          <w:noProof/>
        </w:rPr>
        <w:t>]</w:t>
      </w:r>
      <w:r>
        <w:rPr>
          <w:iCs/>
          <w:noProof/>
        </w:rPr>
        <w:t xml:space="preserve"> </w:t>
      </w:r>
      <w:r>
        <w:rPr>
          <w:noProof/>
        </w:rPr>
        <w:t xml:space="preserve">R1-1609424, "Evaluation of flexible duplex in urban macro scenario," </w:t>
      </w:r>
      <w:r>
        <w:rPr>
          <w:i/>
          <w:iCs/>
          <w:noProof/>
        </w:rPr>
        <w:t>Huawei, HiSilicon</w:t>
      </w:r>
    </w:p>
    <w:p w14:paraId="3F05CF0A" w14:textId="1710452D" w:rsidR="008E60D9" w:rsidRPr="008E60D9" w:rsidRDefault="008E60D9" w:rsidP="0071574D">
      <w:pPr>
        <w:pStyle w:val="BodyText"/>
        <w:rPr>
          <w:iCs/>
          <w:noProof/>
        </w:rPr>
      </w:pPr>
      <w:r w:rsidRPr="008E60D9">
        <w:rPr>
          <w:iCs/>
          <w:noProof/>
        </w:rPr>
        <w:t>[6]</w:t>
      </w:r>
      <w:r>
        <w:rPr>
          <w:iCs/>
          <w:noProof/>
        </w:rPr>
        <w:t xml:space="preserve"> R1-1610087, “Initial evaluation results of dynamic TDD”, </w:t>
      </w:r>
      <w:r w:rsidRPr="008E60D9">
        <w:rPr>
          <w:i/>
          <w:iCs/>
          <w:noProof/>
        </w:rPr>
        <w:t>NTT DOCOMO, INC.</w:t>
      </w:r>
    </w:p>
    <w:p w14:paraId="192EBCBE" w14:textId="073EE13C" w:rsidR="005A5416" w:rsidRPr="005A5416" w:rsidRDefault="005A5416" w:rsidP="0071574D">
      <w:pPr>
        <w:pStyle w:val="BodyText"/>
        <w:rPr>
          <w:iCs/>
          <w:noProof/>
        </w:rPr>
      </w:pPr>
      <w:r w:rsidRPr="005A5416">
        <w:rPr>
          <w:iCs/>
          <w:noProof/>
        </w:rPr>
        <w:t>[</w:t>
      </w:r>
      <w:r w:rsidR="008E60D9">
        <w:rPr>
          <w:iCs/>
          <w:noProof/>
        </w:rPr>
        <w:t>7</w:t>
      </w:r>
      <w:r w:rsidRPr="005A5416">
        <w:rPr>
          <w:iCs/>
          <w:noProof/>
        </w:rPr>
        <w:t>]</w:t>
      </w:r>
      <w:r>
        <w:rPr>
          <w:iCs/>
          <w:noProof/>
        </w:rPr>
        <w:t xml:space="preserve"> TR 36.882 “</w:t>
      </w:r>
      <w:r w:rsidRPr="00FF7532">
        <w:t>Study on regulatory aspects for flexible duplex for E-UTR</w:t>
      </w:r>
      <w:r>
        <w:t>AN</w:t>
      </w:r>
      <w:r>
        <w:rPr>
          <w:iCs/>
          <w:noProof/>
        </w:rPr>
        <w:t>”</w:t>
      </w:r>
    </w:p>
    <w:sectPr w:rsidR="005A5416" w:rsidRPr="005A5416" w:rsidSect="00775D6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A0BBF6" w14:textId="77777777" w:rsidR="002E2EDC" w:rsidRDefault="002E2EDC">
      <w:r>
        <w:separator/>
      </w:r>
    </w:p>
  </w:endnote>
  <w:endnote w:type="continuationSeparator" w:id="0">
    <w:p w14:paraId="7FCE1D82" w14:textId="77777777" w:rsidR="002E2EDC" w:rsidRDefault="002E2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68C82" w14:textId="77777777" w:rsidR="002E2EDC" w:rsidRDefault="002E2EDC">
      <w:r>
        <w:separator/>
      </w:r>
    </w:p>
  </w:footnote>
  <w:footnote w:type="continuationSeparator" w:id="0">
    <w:p w14:paraId="1D409AE3" w14:textId="77777777" w:rsidR="002E2EDC" w:rsidRDefault="002E2E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9E4F6B" w14:textId="77777777" w:rsidR="004D4F57" w:rsidRDefault="002E2EDC" w:rsidP="00A61E6C">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854D4B"/>
    <w:multiLevelType w:val="hybridMultilevel"/>
    <w:tmpl w:val="19542184"/>
    <w:lvl w:ilvl="0" w:tplc="52167A46">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7AC4993"/>
    <w:multiLevelType w:val="hybridMultilevel"/>
    <w:tmpl w:val="380A612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C96D2D"/>
    <w:multiLevelType w:val="hybridMultilevel"/>
    <w:tmpl w:val="89AC34F2"/>
    <w:lvl w:ilvl="0" w:tplc="7144E270">
      <w:numFmt w:val="bullet"/>
      <w:lvlText w:val="-"/>
      <w:lvlJc w:val="left"/>
      <w:pPr>
        <w:ind w:left="922" w:hanging="360"/>
      </w:pPr>
      <w:rPr>
        <w:rFonts w:ascii="Times New Roman" w:eastAsia="MS Mincho" w:hAnsi="Times New Roman" w:cs="Times New Roman"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4"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88D51EA"/>
    <w:multiLevelType w:val="hybridMultilevel"/>
    <w:tmpl w:val="C720A818"/>
    <w:lvl w:ilvl="0" w:tplc="BB009C4E">
      <w:start w:val="20"/>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8C1984"/>
    <w:multiLevelType w:val="hybridMultilevel"/>
    <w:tmpl w:val="278A51A0"/>
    <w:lvl w:ilvl="0" w:tplc="E7BA64AE">
      <w:start w:val="1"/>
      <w:numFmt w:val="decimal"/>
      <w:lvlText w:val="%1."/>
      <w:lvlJc w:val="left"/>
      <w:pPr>
        <w:ind w:left="922" w:hanging="360"/>
      </w:pPr>
      <w:rPr>
        <w:rFonts w:ascii="Times New Roman" w:eastAsia="MS Mincho" w:hAnsi="Times New Roman" w:cs="Times New Roman"/>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9" w15:restartNumberingAfterBreak="0">
    <w:nsid w:val="38902C8F"/>
    <w:multiLevelType w:val="hybridMultilevel"/>
    <w:tmpl w:val="74EACC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D42584A"/>
    <w:multiLevelType w:val="hybridMultilevel"/>
    <w:tmpl w:val="B2D655E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D7B6AF8"/>
    <w:multiLevelType w:val="hybridMultilevel"/>
    <w:tmpl w:val="EBE8A282"/>
    <w:lvl w:ilvl="0" w:tplc="F42260DE">
      <w:start w:val="1"/>
      <w:numFmt w:val="bullet"/>
      <w:lvlText w:val="•"/>
      <w:lvlJc w:val="left"/>
      <w:pPr>
        <w:tabs>
          <w:tab w:val="num" w:pos="720"/>
        </w:tabs>
        <w:ind w:left="720" w:hanging="360"/>
      </w:pPr>
      <w:rPr>
        <w:rFonts w:ascii="Arial" w:hAnsi="Arial" w:hint="default"/>
      </w:rPr>
    </w:lvl>
    <w:lvl w:ilvl="1" w:tplc="9FEEFED4">
      <w:start w:val="2799"/>
      <w:numFmt w:val="bullet"/>
      <w:lvlText w:val="–"/>
      <w:lvlJc w:val="left"/>
      <w:pPr>
        <w:tabs>
          <w:tab w:val="num" w:pos="1440"/>
        </w:tabs>
        <w:ind w:left="1440" w:hanging="360"/>
      </w:pPr>
      <w:rPr>
        <w:rFonts w:ascii="Arial" w:hAnsi="Arial" w:hint="default"/>
      </w:rPr>
    </w:lvl>
    <w:lvl w:ilvl="2" w:tplc="BD7CC984">
      <w:start w:val="1"/>
      <w:numFmt w:val="bullet"/>
      <w:lvlText w:val="•"/>
      <w:lvlJc w:val="left"/>
      <w:pPr>
        <w:tabs>
          <w:tab w:val="num" w:pos="2160"/>
        </w:tabs>
        <w:ind w:left="2160" w:hanging="360"/>
      </w:pPr>
      <w:rPr>
        <w:rFonts w:ascii="Arial" w:hAnsi="Arial" w:hint="default"/>
      </w:rPr>
    </w:lvl>
    <w:lvl w:ilvl="3" w:tplc="5564518E" w:tentative="1">
      <w:start w:val="1"/>
      <w:numFmt w:val="bullet"/>
      <w:lvlText w:val="•"/>
      <w:lvlJc w:val="left"/>
      <w:pPr>
        <w:tabs>
          <w:tab w:val="num" w:pos="2880"/>
        </w:tabs>
        <w:ind w:left="2880" w:hanging="360"/>
      </w:pPr>
      <w:rPr>
        <w:rFonts w:ascii="Arial" w:hAnsi="Arial" w:hint="default"/>
      </w:rPr>
    </w:lvl>
    <w:lvl w:ilvl="4" w:tplc="16DAF2D2" w:tentative="1">
      <w:start w:val="1"/>
      <w:numFmt w:val="bullet"/>
      <w:lvlText w:val="•"/>
      <w:lvlJc w:val="left"/>
      <w:pPr>
        <w:tabs>
          <w:tab w:val="num" w:pos="3600"/>
        </w:tabs>
        <w:ind w:left="3600" w:hanging="360"/>
      </w:pPr>
      <w:rPr>
        <w:rFonts w:ascii="Arial" w:hAnsi="Arial" w:hint="default"/>
      </w:rPr>
    </w:lvl>
    <w:lvl w:ilvl="5" w:tplc="0B3E9418" w:tentative="1">
      <w:start w:val="1"/>
      <w:numFmt w:val="bullet"/>
      <w:lvlText w:val="•"/>
      <w:lvlJc w:val="left"/>
      <w:pPr>
        <w:tabs>
          <w:tab w:val="num" w:pos="4320"/>
        </w:tabs>
        <w:ind w:left="4320" w:hanging="360"/>
      </w:pPr>
      <w:rPr>
        <w:rFonts w:ascii="Arial" w:hAnsi="Arial" w:hint="default"/>
      </w:rPr>
    </w:lvl>
    <w:lvl w:ilvl="6" w:tplc="FFC49C5C" w:tentative="1">
      <w:start w:val="1"/>
      <w:numFmt w:val="bullet"/>
      <w:lvlText w:val="•"/>
      <w:lvlJc w:val="left"/>
      <w:pPr>
        <w:tabs>
          <w:tab w:val="num" w:pos="5040"/>
        </w:tabs>
        <w:ind w:left="5040" w:hanging="360"/>
      </w:pPr>
      <w:rPr>
        <w:rFonts w:ascii="Arial" w:hAnsi="Arial" w:hint="default"/>
      </w:rPr>
    </w:lvl>
    <w:lvl w:ilvl="7" w:tplc="0A1070E2" w:tentative="1">
      <w:start w:val="1"/>
      <w:numFmt w:val="bullet"/>
      <w:lvlText w:val="•"/>
      <w:lvlJc w:val="left"/>
      <w:pPr>
        <w:tabs>
          <w:tab w:val="num" w:pos="5760"/>
        </w:tabs>
        <w:ind w:left="5760" w:hanging="360"/>
      </w:pPr>
      <w:rPr>
        <w:rFonts w:ascii="Arial" w:hAnsi="Arial" w:hint="default"/>
      </w:rPr>
    </w:lvl>
    <w:lvl w:ilvl="8" w:tplc="F9AA7C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5AF5C91"/>
    <w:multiLevelType w:val="hybridMultilevel"/>
    <w:tmpl w:val="666EEB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2FB4B7D"/>
    <w:multiLevelType w:val="hybridMultilevel"/>
    <w:tmpl w:val="8CD66AB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16"/>
  </w:num>
  <w:num w:numId="2">
    <w:abstractNumId w:val="6"/>
  </w:num>
  <w:num w:numId="3">
    <w:abstractNumId w:val="2"/>
  </w:num>
  <w:num w:numId="4">
    <w:abstractNumId w:val="10"/>
  </w:num>
  <w:num w:numId="5">
    <w:abstractNumId w:val="5"/>
  </w:num>
  <w:num w:numId="6">
    <w:abstractNumId w:val="7"/>
  </w:num>
  <w:num w:numId="7">
    <w:abstractNumId w:val="4"/>
  </w:num>
  <w:num w:numId="8">
    <w:abstractNumId w:val="16"/>
  </w:num>
  <w:num w:numId="9">
    <w:abstractNumId w:val="1"/>
  </w:num>
  <w:num w:numId="10">
    <w:abstractNumId w:val="13"/>
  </w:num>
  <w:num w:numId="11">
    <w:abstractNumId w:val="15"/>
  </w:num>
  <w:num w:numId="12">
    <w:abstractNumId w:val="17"/>
  </w:num>
  <w:num w:numId="13">
    <w:abstractNumId w:val="0"/>
  </w:num>
  <w:num w:numId="14">
    <w:abstractNumId w:val="8"/>
  </w:num>
  <w:num w:numId="15">
    <w:abstractNumId w:val="9"/>
  </w:num>
  <w:num w:numId="16">
    <w:abstractNumId w:val="3"/>
  </w:num>
  <w:num w:numId="17">
    <w:abstractNumId w:val="11"/>
  </w:num>
  <w:num w:numId="18">
    <w:abstractNumId w:val="14"/>
  </w:num>
  <w:num w:numId="19">
    <w:abstractNumId w:val="12"/>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1AAA"/>
    <w:rsid w:val="0000351A"/>
    <w:rsid w:val="000047F4"/>
    <w:rsid w:val="000048F6"/>
    <w:rsid w:val="00010BCA"/>
    <w:rsid w:val="00010CE6"/>
    <w:rsid w:val="00010EB2"/>
    <w:rsid w:val="00012C9A"/>
    <w:rsid w:val="00014FCC"/>
    <w:rsid w:val="000157BD"/>
    <w:rsid w:val="000168ED"/>
    <w:rsid w:val="000178EB"/>
    <w:rsid w:val="00022D74"/>
    <w:rsid w:val="00022EF3"/>
    <w:rsid w:val="00023DC7"/>
    <w:rsid w:val="00026479"/>
    <w:rsid w:val="000313F2"/>
    <w:rsid w:val="0003196B"/>
    <w:rsid w:val="000321DA"/>
    <w:rsid w:val="00040015"/>
    <w:rsid w:val="00040FCA"/>
    <w:rsid w:val="00042230"/>
    <w:rsid w:val="000429CF"/>
    <w:rsid w:val="000432DE"/>
    <w:rsid w:val="00043711"/>
    <w:rsid w:val="00046A04"/>
    <w:rsid w:val="000478D6"/>
    <w:rsid w:val="00051188"/>
    <w:rsid w:val="000512B1"/>
    <w:rsid w:val="0005367D"/>
    <w:rsid w:val="00056296"/>
    <w:rsid w:val="00056456"/>
    <w:rsid w:val="00061B17"/>
    <w:rsid w:val="00062FA5"/>
    <w:rsid w:val="000658C5"/>
    <w:rsid w:val="00066048"/>
    <w:rsid w:val="000666C0"/>
    <w:rsid w:val="000714BF"/>
    <w:rsid w:val="00071741"/>
    <w:rsid w:val="00073254"/>
    <w:rsid w:val="000738D0"/>
    <w:rsid w:val="00074503"/>
    <w:rsid w:val="0007709B"/>
    <w:rsid w:val="000801CF"/>
    <w:rsid w:val="0008154E"/>
    <w:rsid w:val="00087755"/>
    <w:rsid w:val="0008783B"/>
    <w:rsid w:val="00087EAE"/>
    <w:rsid w:val="00090CE2"/>
    <w:rsid w:val="00093C20"/>
    <w:rsid w:val="000950D8"/>
    <w:rsid w:val="000955E9"/>
    <w:rsid w:val="00095DC6"/>
    <w:rsid w:val="000A1ADD"/>
    <w:rsid w:val="000A23B5"/>
    <w:rsid w:val="000A258F"/>
    <w:rsid w:val="000A4A88"/>
    <w:rsid w:val="000A4DD7"/>
    <w:rsid w:val="000B110F"/>
    <w:rsid w:val="000B1F13"/>
    <w:rsid w:val="000B366B"/>
    <w:rsid w:val="000B4CC4"/>
    <w:rsid w:val="000B5B12"/>
    <w:rsid w:val="000B68A8"/>
    <w:rsid w:val="000B6E87"/>
    <w:rsid w:val="000B7C1D"/>
    <w:rsid w:val="000C0CC9"/>
    <w:rsid w:val="000C3724"/>
    <w:rsid w:val="000D2EBE"/>
    <w:rsid w:val="000D3CB1"/>
    <w:rsid w:val="000D49FA"/>
    <w:rsid w:val="000D5C66"/>
    <w:rsid w:val="000D5F6D"/>
    <w:rsid w:val="000D6B22"/>
    <w:rsid w:val="000E0492"/>
    <w:rsid w:val="000E4A00"/>
    <w:rsid w:val="000E4FF5"/>
    <w:rsid w:val="000E5246"/>
    <w:rsid w:val="000E54F9"/>
    <w:rsid w:val="000F08B5"/>
    <w:rsid w:val="000F1567"/>
    <w:rsid w:val="000F204C"/>
    <w:rsid w:val="000F27A6"/>
    <w:rsid w:val="000F30A8"/>
    <w:rsid w:val="000F6698"/>
    <w:rsid w:val="001025A4"/>
    <w:rsid w:val="00102A7B"/>
    <w:rsid w:val="001037AC"/>
    <w:rsid w:val="00104C43"/>
    <w:rsid w:val="00106384"/>
    <w:rsid w:val="00110245"/>
    <w:rsid w:val="001107AE"/>
    <w:rsid w:val="00110ADB"/>
    <w:rsid w:val="0011214B"/>
    <w:rsid w:val="00112E18"/>
    <w:rsid w:val="0011310B"/>
    <w:rsid w:val="00113920"/>
    <w:rsid w:val="00113F8C"/>
    <w:rsid w:val="00120784"/>
    <w:rsid w:val="00122D08"/>
    <w:rsid w:val="00123528"/>
    <w:rsid w:val="00123A82"/>
    <w:rsid w:val="00124D4F"/>
    <w:rsid w:val="00124E12"/>
    <w:rsid w:val="00127152"/>
    <w:rsid w:val="00131DC5"/>
    <w:rsid w:val="001378B1"/>
    <w:rsid w:val="00141448"/>
    <w:rsid w:val="00143330"/>
    <w:rsid w:val="001449AE"/>
    <w:rsid w:val="00144BD6"/>
    <w:rsid w:val="0014525A"/>
    <w:rsid w:val="00151288"/>
    <w:rsid w:val="00152243"/>
    <w:rsid w:val="00152871"/>
    <w:rsid w:val="0015335C"/>
    <w:rsid w:val="001562E7"/>
    <w:rsid w:val="00156306"/>
    <w:rsid w:val="0016042B"/>
    <w:rsid w:val="00162B89"/>
    <w:rsid w:val="00164EC7"/>
    <w:rsid w:val="00166398"/>
    <w:rsid w:val="001663B0"/>
    <w:rsid w:val="0016738C"/>
    <w:rsid w:val="00171671"/>
    <w:rsid w:val="00173216"/>
    <w:rsid w:val="00177C52"/>
    <w:rsid w:val="00181B37"/>
    <w:rsid w:val="00181C43"/>
    <w:rsid w:val="0018544B"/>
    <w:rsid w:val="0018798A"/>
    <w:rsid w:val="00187D14"/>
    <w:rsid w:val="00190AEC"/>
    <w:rsid w:val="001922FD"/>
    <w:rsid w:val="00194400"/>
    <w:rsid w:val="0019529B"/>
    <w:rsid w:val="0019561E"/>
    <w:rsid w:val="001A1B1F"/>
    <w:rsid w:val="001A1BA3"/>
    <w:rsid w:val="001A2AF7"/>
    <w:rsid w:val="001A6313"/>
    <w:rsid w:val="001B0DF1"/>
    <w:rsid w:val="001B155D"/>
    <w:rsid w:val="001B167B"/>
    <w:rsid w:val="001B4039"/>
    <w:rsid w:val="001B59CA"/>
    <w:rsid w:val="001B6BE5"/>
    <w:rsid w:val="001C793B"/>
    <w:rsid w:val="001C7C7B"/>
    <w:rsid w:val="001D0208"/>
    <w:rsid w:val="001D0BEB"/>
    <w:rsid w:val="001D1AAC"/>
    <w:rsid w:val="001D1C46"/>
    <w:rsid w:val="001D1D5F"/>
    <w:rsid w:val="001D6F3B"/>
    <w:rsid w:val="001E0C4B"/>
    <w:rsid w:val="001E2AE3"/>
    <w:rsid w:val="001F0A5F"/>
    <w:rsid w:val="001F234D"/>
    <w:rsid w:val="001F769C"/>
    <w:rsid w:val="001F7A55"/>
    <w:rsid w:val="00200321"/>
    <w:rsid w:val="00201552"/>
    <w:rsid w:val="002040FE"/>
    <w:rsid w:val="00205880"/>
    <w:rsid w:val="00206D32"/>
    <w:rsid w:val="00206DBE"/>
    <w:rsid w:val="0021013F"/>
    <w:rsid w:val="0021058D"/>
    <w:rsid w:val="002129DC"/>
    <w:rsid w:val="002147AA"/>
    <w:rsid w:val="00214839"/>
    <w:rsid w:val="00216C78"/>
    <w:rsid w:val="00225B5B"/>
    <w:rsid w:val="0022796C"/>
    <w:rsid w:val="00232D1A"/>
    <w:rsid w:val="0023325B"/>
    <w:rsid w:val="00236793"/>
    <w:rsid w:val="00236DB6"/>
    <w:rsid w:val="00237711"/>
    <w:rsid w:val="0024058B"/>
    <w:rsid w:val="002432C8"/>
    <w:rsid w:val="002444B4"/>
    <w:rsid w:val="00246F2D"/>
    <w:rsid w:val="0024749B"/>
    <w:rsid w:val="00252EF9"/>
    <w:rsid w:val="002531C6"/>
    <w:rsid w:val="00254B17"/>
    <w:rsid w:val="00255A4A"/>
    <w:rsid w:val="00257925"/>
    <w:rsid w:val="00257EF4"/>
    <w:rsid w:val="002604BB"/>
    <w:rsid w:val="00261D59"/>
    <w:rsid w:val="00262F26"/>
    <w:rsid w:val="00265367"/>
    <w:rsid w:val="00266BC5"/>
    <w:rsid w:val="00267A6A"/>
    <w:rsid w:val="0027015F"/>
    <w:rsid w:val="00270503"/>
    <w:rsid w:val="00272625"/>
    <w:rsid w:val="0027296E"/>
    <w:rsid w:val="00277AC7"/>
    <w:rsid w:val="002822D6"/>
    <w:rsid w:val="002835CB"/>
    <w:rsid w:val="00284FB1"/>
    <w:rsid w:val="002876A4"/>
    <w:rsid w:val="00287837"/>
    <w:rsid w:val="00290099"/>
    <w:rsid w:val="002920AC"/>
    <w:rsid w:val="00292C64"/>
    <w:rsid w:val="00293373"/>
    <w:rsid w:val="00293B81"/>
    <w:rsid w:val="0029423B"/>
    <w:rsid w:val="002966B5"/>
    <w:rsid w:val="002A0267"/>
    <w:rsid w:val="002A058F"/>
    <w:rsid w:val="002A10F7"/>
    <w:rsid w:val="002A365D"/>
    <w:rsid w:val="002A49E2"/>
    <w:rsid w:val="002A6A11"/>
    <w:rsid w:val="002A7514"/>
    <w:rsid w:val="002B061A"/>
    <w:rsid w:val="002B2462"/>
    <w:rsid w:val="002B33E8"/>
    <w:rsid w:val="002B3D65"/>
    <w:rsid w:val="002B555D"/>
    <w:rsid w:val="002B5AC4"/>
    <w:rsid w:val="002B6807"/>
    <w:rsid w:val="002C4A57"/>
    <w:rsid w:val="002C6FD2"/>
    <w:rsid w:val="002D04FD"/>
    <w:rsid w:val="002E1317"/>
    <w:rsid w:val="002E2EDC"/>
    <w:rsid w:val="002E7FE2"/>
    <w:rsid w:val="002F155D"/>
    <w:rsid w:val="002F2B8A"/>
    <w:rsid w:val="002F4A4A"/>
    <w:rsid w:val="002F7FDC"/>
    <w:rsid w:val="003048A9"/>
    <w:rsid w:val="00304B63"/>
    <w:rsid w:val="00305342"/>
    <w:rsid w:val="0030652D"/>
    <w:rsid w:val="0031064C"/>
    <w:rsid w:val="003142F4"/>
    <w:rsid w:val="00314E8A"/>
    <w:rsid w:val="00314F5E"/>
    <w:rsid w:val="00314F6C"/>
    <w:rsid w:val="00316CC8"/>
    <w:rsid w:val="0032222C"/>
    <w:rsid w:val="00324AB0"/>
    <w:rsid w:val="00325D7A"/>
    <w:rsid w:val="00325E70"/>
    <w:rsid w:val="003260E7"/>
    <w:rsid w:val="00326D21"/>
    <w:rsid w:val="003272DE"/>
    <w:rsid w:val="00327586"/>
    <w:rsid w:val="003333FD"/>
    <w:rsid w:val="0033373F"/>
    <w:rsid w:val="00334D08"/>
    <w:rsid w:val="00335FE3"/>
    <w:rsid w:val="003368BA"/>
    <w:rsid w:val="00340189"/>
    <w:rsid w:val="00340512"/>
    <w:rsid w:val="00340F80"/>
    <w:rsid w:val="00344518"/>
    <w:rsid w:val="00345265"/>
    <w:rsid w:val="003456E3"/>
    <w:rsid w:val="003505C2"/>
    <w:rsid w:val="0035350A"/>
    <w:rsid w:val="00354765"/>
    <w:rsid w:val="0035593C"/>
    <w:rsid w:val="003562DA"/>
    <w:rsid w:val="00357254"/>
    <w:rsid w:val="00360E82"/>
    <w:rsid w:val="00362747"/>
    <w:rsid w:val="00364B5B"/>
    <w:rsid w:val="00365F75"/>
    <w:rsid w:val="0036627B"/>
    <w:rsid w:val="00367AEA"/>
    <w:rsid w:val="00375D21"/>
    <w:rsid w:val="0037625C"/>
    <w:rsid w:val="00377460"/>
    <w:rsid w:val="003812E7"/>
    <w:rsid w:val="003813D7"/>
    <w:rsid w:val="003820F5"/>
    <w:rsid w:val="003827FD"/>
    <w:rsid w:val="00383809"/>
    <w:rsid w:val="00384734"/>
    <w:rsid w:val="003875A3"/>
    <w:rsid w:val="0038782B"/>
    <w:rsid w:val="00391FA8"/>
    <w:rsid w:val="00394864"/>
    <w:rsid w:val="003A2EEB"/>
    <w:rsid w:val="003B0C41"/>
    <w:rsid w:val="003B2DCC"/>
    <w:rsid w:val="003B3951"/>
    <w:rsid w:val="003B4ED7"/>
    <w:rsid w:val="003B5D10"/>
    <w:rsid w:val="003B63E2"/>
    <w:rsid w:val="003B6B84"/>
    <w:rsid w:val="003C13BA"/>
    <w:rsid w:val="003C545F"/>
    <w:rsid w:val="003D001B"/>
    <w:rsid w:val="003D343A"/>
    <w:rsid w:val="003D3DC6"/>
    <w:rsid w:val="003D40A1"/>
    <w:rsid w:val="003D7F34"/>
    <w:rsid w:val="003E03EC"/>
    <w:rsid w:val="003E1504"/>
    <w:rsid w:val="003E1740"/>
    <w:rsid w:val="003E3882"/>
    <w:rsid w:val="003E51AF"/>
    <w:rsid w:val="003E6C14"/>
    <w:rsid w:val="003F229D"/>
    <w:rsid w:val="003F46BD"/>
    <w:rsid w:val="003F5B73"/>
    <w:rsid w:val="003F7EEA"/>
    <w:rsid w:val="00402A7B"/>
    <w:rsid w:val="00402CF4"/>
    <w:rsid w:val="00404DD4"/>
    <w:rsid w:val="00410992"/>
    <w:rsid w:val="004157A0"/>
    <w:rsid w:val="00416521"/>
    <w:rsid w:val="00417218"/>
    <w:rsid w:val="00422131"/>
    <w:rsid w:val="004223F7"/>
    <w:rsid w:val="004229EA"/>
    <w:rsid w:val="00423D13"/>
    <w:rsid w:val="00424DF8"/>
    <w:rsid w:val="004250FE"/>
    <w:rsid w:val="00427E3C"/>
    <w:rsid w:val="00432701"/>
    <w:rsid w:val="00433016"/>
    <w:rsid w:val="004342A6"/>
    <w:rsid w:val="00436048"/>
    <w:rsid w:val="00441F4C"/>
    <w:rsid w:val="004421D6"/>
    <w:rsid w:val="00445B3D"/>
    <w:rsid w:val="00450FC4"/>
    <w:rsid w:val="004512C2"/>
    <w:rsid w:val="00451327"/>
    <w:rsid w:val="00455903"/>
    <w:rsid w:val="00463DD8"/>
    <w:rsid w:val="00466211"/>
    <w:rsid w:val="0046796D"/>
    <w:rsid w:val="00470093"/>
    <w:rsid w:val="0047464B"/>
    <w:rsid w:val="00475E67"/>
    <w:rsid w:val="004761DB"/>
    <w:rsid w:val="00477AFB"/>
    <w:rsid w:val="00490FE0"/>
    <w:rsid w:val="00491542"/>
    <w:rsid w:val="00493440"/>
    <w:rsid w:val="00493A56"/>
    <w:rsid w:val="00495FAF"/>
    <w:rsid w:val="00497665"/>
    <w:rsid w:val="00497954"/>
    <w:rsid w:val="004A13DE"/>
    <w:rsid w:val="004A260D"/>
    <w:rsid w:val="004A3635"/>
    <w:rsid w:val="004A55DB"/>
    <w:rsid w:val="004A705C"/>
    <w:rsid w:val="004A7582"/>
    <w:rsid w:val="004B196A"/>
    <w:rsid w:val="004B5A3F"/>
    <w:rsid w:val="004B5F86"/>
    <w:rsid w:val="004B69DB"/>
    <w:rsid w:val="004C0974"/>
    <w:rsid w:val="004C0C89"/>
    <w:rsid w:val="004C0CDE"/>
    <w:rsid w:val="004C22F4"/>
    <w:rsid w:val="004C3A9E"/>
    <w:rsid w:val="004C53DB"/>
    <w:rsid w:val="004C76B6"/>
    <w:rsid w:val="004D0621"/>
    <w:rsid w:val="004D23FD"/>
    <w:rsid w:val="004D2D65"/>
    <w:rsid w:val="004D2D69"/>
    <w:rsid w:val="004D6F57"/>
    <w:rsid w:val="004D7397"/>
    <w:rsid w:val="004D7989"/>
    <w:rsid w:val="004E095B"/>
    <w:rsid w:val="004E09C5"/>
    <w:rsid w:val="004E218A"/>
    <w:rsid w:val="004E37CF"/>
    <w:rsid w:val="004E4B38"/>
    <w:rsid w:val="004E5659"/>
    <w:rsid w:val="004E624C"/>
    <w:rsid w:val="004E699E"/>
    <w:rsid w:val="004F1D49"/>
    <w:rsid w:val="004F472D"/>
    <w:rsid w:val="004F61CB"/>
    <w:rsid w:val="004F66DD"/>
    <w:rsid w:val="004F6F7E"/>
    <w:rsid w:val="005000F6"/>
    <w:rsid w:val="00500796"/>
    <w:rsid w:val="0050175B"/>
    <w:rsid w:val="00503930"/>
    <w:rsid w:val="00504685"/>
    <w:rsid w:val="00510496"/>
    <w:rsid w:val="0051349B"/>
    <w:rsid w:val="005147EE"/>
    <w:rsid w:val="00514FFC"/>
    <w:rsid w:val="0052122F"/>
    <w:rsid w:val="0052499D"/>
    <w:rsid w:val="00526B3F"/>
    <w:rsid w:val="00531188"/>
    <w:rsid w:val="00533683"/>
    <w:rsid w:val="005339F2"/>
    <w:rsid w:val="00537511"/>
    <w:rsid w:val="00537540"/>
    <w:rsid w:val="005375D5"/>
    <w:rsid w:val="00542BF3"/>
    <w:rsid w:val="005535BA"/>
    <w:rsid w:val="00553623"/>
    <w:rsid w:val="00553849"/>
    <w:rsid w:val="00554ACD"/>
    <w:rsid w:val="00562A9B"/>
    <w:rsid w:val="00565EA8"/>
    <w:rsid w:val="0056667C"/>
    <w:rsid w:val="005669E9"/>
    <w:rsid w:val="00570907"/>
    <w:rsid w:val="00577F15"/>
    <w:rsid w:val="005824C6"/>
    <w:rsid w:val="00582B96"/>
    <w:rsid w:val="00585A53"/>
    <w:rsid w:val="00585E61"/>
    <w:rsid w:val="00593095"/>
    <w:rsid w:val="005932EA"/>
    <w:rsid w:val="00594CE5"/>
    <w:rsid w:val="00594D8F"/>
    <w:rsid w:val="005959AE"/>
    <w:rsid w:val="00596CF8"/>
    <w:rsid w:val="005971DE"/>
    <w:rsid w:val="005A0301"/>
    <w:rsid w:val="005A0417"/>
    <w:rsid w:val="005A0CC8"/>
    <w:rsid w:val="005A23BE"/>
    <w:rsid w:val="005A3198"/>
    <w:rsid w:val="005A3912"/>
    <w:rsid w:val="005A5411"/>
    <w:rsid w:val="005A5416"/>
    <w:rsid w:val="005A5CA7"/>
    <w:rsid w:val="005B0860"/>
    <w:rsid w:val="005B3F67"/>
    <w:rsid w:val="005B425B"/>
    <w:rsid w:val="005B59E9"/>
    <w:rsid w:val="005B5CDC"/>
    <w:rsid w:val="005B69A6"/>
    <w:rsid w:val="005C1FBD"/>
    <w:rsid w:val="005C2E10"/>
    <w:rsid w:val="005C4319"/>
    <w:rsid w:val="005D0938"/>
    <w:rsid w:val="005D1C87"/>
    <w:rsid w:val="005D2B03"/>
    <w:rsid w:val="005D2BDA"/>
    <w:rsid w:val="005D2E98"/>
    <w:rsid w:val="005D6620"/>
    <w:rsid w:val="005D7600"/>
    <w:rsid w:val="005E1C8D"/>
    <w:rsid w:val="005E1F97"/>
    <w:rsid w:val="005E7A03"/>
    <w:rsid w:val="005E7C07"/>
    <w:rsid w:val="005F4CEC"/>
    <w:rsid w:val="006003FE"/>
    <w:rsid w:val="00601019"/>
    <w:rsid w:val="00603BC8"/>
    <w:rsid w:val="00604D8F"/>
    <w:rsid w:val="0060553F"/>
    <w:rsid w:val="00606EEB"/>
    <w:rsid w:val="00607B2E"/>
    <w:rsid w:val="006162D1"/>
    <w:rsid w:val="00616B97"/>
    <w:rsid w:val="00621AE9"/>
    <w:rsid w:val="0062584C"/>
    <w:rsid w:val="00631DB9"/>
    <w:rsid w:val="006332F0"/>
    <w:rsid w:val="00633C38"/>
    <w:rsid w:val="00637E78"/>
    <w:rsid w:val="0064005C"/>
    <w:rsid w:val="00640CB7"/>
    <w:rsid w:val="00644905"/>
    <w:rsid w:val="00644982"/>
    <w:rsid w:val="00644D3E"/>
    <w:rsid w:val="0064510C"/>
    <w:rsid w:val="00647BDE"/>
    <w:rsid w:val="00647C36"/>
    <w:rsid w:val="006500CF"/>
    <w:rsid w:val="00651D1D"/>
    <w:rsid w:val="006520A4"/>
    <w:rsid w:val="00652374"/>
    <w:rsid w:val="00652588"/>
    <w:rsid w:val="00652E22"/>
    <w:rsid w:val="00655177"/>
    <w:rsid w:val="00655A77"/>
    <w:rsid w:val="00655E69"/>
    <w:rsid w:val="00656123"/>
    <w:rsid w:val="00656706"/>
    <w:rsid w:val="0066020B"/>
    <w:rsid w:val="00660A60"/>
    <w:rsid w:val="00662545"/>
    <w:rsid w:val="00666D4E"/>
    <w:rsid w:val="00667B1A"/>
    <w:rsid w:val="006702CD"/>
    <w:rsid w:val="00673B2A"/>
    <w:rsid w:val="00674094"/>
    <w:rsid w:val="00675B54"/>
    <w:rsid w:val="00680298"/>
    <w:rsid w:val="006815B7"/>
    <w:rsid w:val="00681FA1"/>
    <w:rsid w:val="00683D70"/>
    <w:rsid w:val="00684884"/>
    <w:rsid w:val="00684F5E"/>
    <w:rsid w:val="006858E8"/>
    <w:rsid w:val="0068682B"/>
    <w:rsid w:val="00687322"/>
    <w:rsid w:val="00687AE8"/>
    <w:rsid w:val="00687C1F"/>
    <w:rsid w:val="00694C94"/>
    <w:rsid w:val="00695278"/>
    <w:rsid w:val="00695F1B"/>
    <w:rsid w:val="00697390"/>
    <w:rsid w:val="006A0B77"/>
    <w:rsid w:val="006A0FDD"/>
    <w:rsid w:val="006A286A"/>
    <w:rsid w:val="006B0CD7"/>
    <w:rsid w:val="006B1C50"/>
    <w:rsid w:val="006B1F94"/>
    <w:rsid w:val="006B3066"/>
    <w:rsid w:val="006B3621"/>
    <w:rsid w:val="006B5D8C"/>
    <w:rsid w:val="006B616D"/>
    <w:rsid w:val="006B6598"/>
    <w:rsid w:val="006C0E59"/>
    <w:rsid w:val="006C1008"/>
    <w:rsid w:val="006C1AE6"/>
    <w:rsid w:val="006C1DD1"/>
    <w:rsid w:val="006C36BC"/>
    <w:rsid w:val="006C4484"/>
    <w:rsid w:val="006C457C"/>
    <w:rsid w:val="006C5015"/>
    <w:rsid w:val="006C7A8F"/>
    <w:rsid w:val="006D1CEE"/>
    <w:rsid w:val="006D1E7E"/>
    <w:rsid w:val="006D25A1"/>
    <w:rsid w:val="006D3E98"/>
    <w:rsid w:val="006D4C18"/>
    <w:rsid w:val="006D66F3"/>
    <w:rsid w:val="006D6F60"/>
    <w:rsid w:val="006E131F"/>
    <w:rsid w:val="006E2A01"/>
    <w:rsid w:val="006E6208"/>
    <w:rsid w:val="006F07F5"/>
    <w:rsid w:val="006F160A"/>
    <w:rsid w:val="006F345F"/>
    <w:rsid w:val="006F46AF"/>
    <w:rsid w:val="006F520D"/>
    <w:rsid w:val="006F57A2"/>
    <w:rsid w:val="006F6CC9"/>
    <w:rsid w:val="006F7B91"/>
    <w:rsid w:val="0070262F"/>
    <w:rsid w:val="007033B4"/>
    <w:rsid w:val="0070377A"/>
    <w:rsid w:val="00705354"/>
    <w:rsid w:val="007129E7"/>
    <w:rsid w:val="00713423"/>
    <w:rsid w:val="00713C49"/>
    <w:rsid w:val="00714027"/>
    <w:rsid w:val="0071574D"/>
    <w:rsid w:val="00722882"/>
    <w:rsid w:val="00722B90"/>
    <w:rsid w:val="00723F98"/>
    <w:rsid w:val="007255EA"/>
    <w:rsid w:val="00725FB3"/>
    <w:rsid w:val="00726BE5"/>
    <w:rsid w:val="007314E8"/>
    <w:rsid w:val="00732A21"/>
    <w:rsid w:val="007341A8"/>
    <w:rsid w:val="00734FF0"/>
    <w:rsid w:val="007350CC"/>
    <w:rsid w:val="007358A9"/>
    <w:rsid w:val="0074138A"/>
    <w:rsid w:val="0074743D"/>
    <w:rsid w:val="00750C6D"/>
    <w:rsid w:val="007511DD"/>
    <w:rsid w:val="00753C23"/>
    <w:rsid w:val="00754F3E"/>
    <w:rsid w:val="00755A8F"/>
    <w:rsid w:val="007574E7"/>
    <w:rsid w:val="007601F2"/>
    <w:rsid w:val="0076195A"/>
    <w:rsid w:val="00762598"/>
    <w:rsid w:val="00762803"/>
    <w:rsid w:val="00763AD1"/>
    <w:rsid w:val="00765683"/>
    <w:rsid w:val="00766DF1"/>
    <w:rsid w:val="0076701D"/>
    <w:rsid w:val="0077106B"/>
    <w:rsid w:val="00774ABA"/>
    <w:rsid w:val="00775D60"/>
    <w:rsid w:val="00776009"/>
    <w:rsid w:val="007761A4"/>
    <w:rsid w:val="0077668D"/>
    <w:rsid w:val="00777003"/>
    <w:rsid w:val="007771AC"/>
    <w:rsid w:val="007808F7"/>
    <w:rsid w:val="00780BC2"/>
    <w:rsid w:val="00780DC6"/>
    <w:rsid w:val="0078122B"/>
    <w:rsid w:val="00783FC8"/>
    <w:rsid w:val="00786366"/>
    <w:rsid w:val="00790A37"/>
    <w:rsid w:val="00790AA2"/>
    <w:rsid w:val="007911BB"/>
    <w:rsid w:val="0079190D"/>
    <w:rsid w:val="007922C2"/>
    <w:rsid w:val="007951E5"/>
    <w:rsid w:val="00797339"/>
    <w:rsid w:val="007A2452"/>
    <w:rsid w:val="007A3260"/>
    <w:rsid w:val="007A3A2A"/>
    <w:rsid w:val="007B1711"/>
    <w:rsid w:val="007B2F78"/>
    <w:rsid w:val="007B393D"/>
    <w:rsid w:val="007B548E"/>
    <w:rsid w:val="007B685C"/>
    <w:rsid w:val="007C53FE"/>
    <w:rsid w:val="007C57CD"/>
    <w:rsid w:val="007D640C"/>
    <w:rsid w:val="007D6C58"/>
    <w:rsid w:val="007D7831"/>
    <w:rsid w:val="007E0350"/>
    <w:rsid w:val="007E0A6D"/>
    <w:rsid w:val="007E101F"/>
    <w:rsid w:val="007E19B4"/>
    <w:rsid w:val="007E44C7"/>
    <w:rsid w:val="007E613F"/>
    <w:rsid w:val="007E77ED"/>
    <w:rsid w:val="007E7DD5"/>
    <w:rsid w:val="007F7545"/>
    <w:rsid w:val="00800F99"/>
    <w:rsid w:val="00801D5B"/>
    <w:rsid w:val="00802230"/>
    <w:rsid w:val="00802C5B"/>
    <w:rsid w:val="00802F74"/>
    <w:rsid w:val="008045BE"/>
    <w:rsid w:val="00805D7A"/>
    <w:rsid w:val="00806D39"/>
    <w:rsid w:val="00807181"/>
    <w:rsid w:val="0081076A"/>
    <w:rsid w:val="008123CE"/>
    <w:rsid w:val="00813683"/>
    <w:rsid w:val="00816B60"/>
    <w:rsid w:val="00817DF8"/>
    <w:rsid w:val="008223FD"/>
    <w:rsid w:val="00824292"/>
    <w:rsid w:val="0082440E"/>
    <w:rsid w:val="00830701"/>
    <w:rsid w:val="00831C96"/>
    <w:rsid w:val="00831D55"/>
    <w:rsid w:val="00834DE7"/>
    <w:rsid w:val="008353BE"/>
    <w:rsid w:val="00835B77"/>
    <w:rsid w:val="00840869"/>
    <w:rsid w:val="00844A65"/>
    <w:rsid w:val="00846501"/>
    <w:rsid w:val="0085118C"/>
    <w:rsid w:val="00851420"/>
    <w:rsid w:val="00851BD8"/>
    <w:rsid w:val="00851EB5"/>
    <w:rsid w:val="00852785"/>
    <w:rsid w:val="0085357D"/>
    <w:rsid w:val="00861D10"/>
    <w:rsid w:val="00862884"/>
    <w:rsid w:val="00863C59"/>
    <w:rsid w:val="008640DE"/>
    <w:rsid w:val="00867E2D"/>
    <w:rsid w:val="008709E3"/>
    <w:rsid w:val="0087112A"/>
    <w:rsid w:val="008720FD"/>
    <w:rsid w:val="00872419"/>
    <w:rsid w:val="00877AD9"/>
    <w:rsid w:val="0088163C"/>
    <w:rsid w:val="0088293A"/>
    <w:rsid w:val="00884CA0"/>
    <w:rsid w:val="008878FF"/>
    <w:rsid w:val="008902AC"/>
    <w:rsid w:val="00892F96"/>
    <w:rsid w:val="00893F66"/>
    <w:rsid w:val="00896D9A"/>
    <w:rsid w:val="00896F4E"/>
    <w:rsid w:val="00897679"/>
    <w:rsid w:val="008A0E51"/>
    <w:rsid w:val="008A5B12"/>
    <w:rsid w:val="008A5BAE"/>
    <w:rsid w:val="008A5F4F"/>
    <w:rsid w:val="008A7766"/>
    <w:rsid w:val="008B2396"/>
    <w:rsid w:val="008C0C0D"/>
    <w:rsid w:val="008C13BA"/>
    <w:rsid w:val="008C2602"/>
    <w:rsid w:val="008C4B38"/>
    <w:rsid w:val="008D003A"/>
    <w:rsid w:val="008D0387"/>
    <w:rsid w:val="008D0DE7"/>
    <w:rsid w:val="008D3A1B"/>
    <w:rsid w:val="008D3FCE"/>
    <w:rsid w:val="008D47A7"/>
    <w:rsid w:val="008D4B80"/>
    <w:rsid w:val="008D5179"/>
    <w:rsid w:val="008D67EA"/>
    <w:rsid w:val="008E0A85"/>
    <w:rsid w:val="008E17C0"/>
    <w:rsid w:val="008E3E8C"/>
    <w:rsid w:val="008E60D9"/>
    <w:rsid w:val="008E7A08"/>
    <w:rsid w:val="008E7AC7"/>
    <w:rsid w:val="008F00EE"/>
    <w:rsid w:val="008F1889"/>
    <w:rsid w:val="008F3733"/>
    <w:rsid w:val="008F6998"/>
    <w:rsid w:val="008F7C76"/>
    <w:rsid w:val="009014BE"/>
    <w:rsid w:val="00901B30"/>
    <w:rsid w:val="00901EF1"/>
    <w:rsid w:val="00901FB0"/>
    <w:rsid w:val="00904D1E"/>
    <w:rsid w:val="00910F84"/>
    <w:rsid w:val="00914EAA"/>
    <w:rsid w:val="00915D5B"/>
    <w:rsid w:val="00916088"/>
    <w:rsid w:val="009215DD"/>
    <w:rsid w:val="00921A0F"/>
    <w:rsid w:val="00926CC0"/>
    <w:rsid w:val="00930B81"/>
    <w:rsid w:val="0093123C"/>
    <w:rsid w:val="009372E8"/>
    <w:rsid w:val="009442E7"/>
    <w:rsid w:val="0094494A"/>
    <w:rsid w:val="0094668A"/>
    <w:rsid w:val="00947778"/>
    <w:rsid w:val="0095016A"/>
    <w:rsid w:val="00950B44"/>
    <w:rsid w:val="00953202"/>
    <w:rsid w:val="00953827"/>
    <w:rsid w:val="009547CF"/>
    <w:rsid w:val="009575CF"/>
    <w:rsid w:val="00960A2A"/>
    <w:rsid w:val="00961D8C"/>
    <w:rsid w:val="009628DF"/>
    <w:rsid w:val="00964E72"/>
    <w:rsid w:val="0096514F"/>
    <w:rsid w:val="009709D4"/>
    <w:rsid w:val="00970BC6"/>
    <w:rsid w:val="00971567"/>
    <w:rsid w:val="00971A56"/>
    <w:rsid w:val="00973410"/>
    <w:rsid w:val="00975508"/>
    <w:rsid w:val="00975FB3"/>
    <w:rsid w:val="00976046"/>
    <w:rsid w:val="00976C06"/>
    <w:rsid w:val="0099287D"/>
    <w:rsid w:val="00992DE6"/>
    <w:rsid w:val="00994A16"/>
    <w:rsid w:val="00995262"/>
    <w:rsid w:val="00997EC2"/>
    <w:rsid w:val="009A4E09"/>
    <w:rsid w:val="009A6BB8"/>
    <w:rsid w:val="009A7096"/>
    <w:rsid w:val="009B078C"/>
    <w:rsid w:val="009B2E48"/>
    <w:rsid w:val="009B33D3"/>
    <w:rsid w:val="009B3BA2"/>
    <w:rsid w:val="009B49AC"/>
    <w:rsid w:val="009B4A20"/>
    <w:rsid w:val="009B6E44"/>
    <w:rsid w:val="009C1C5D"/>
    <w:rsid w:val="009C1E2D"/>
    <w:rsid w:val="009C31FE"/>
    <w:rsid w:val="009C430C"/>
    <w:rsid w:val="009C466D"/>
    <w:rsid w:val="009C630E"/>
    <w:rsid w:val="009C7C14"/>
    <w:rsid w:val="009D176B"/>
    <w:rsid w:val="009D27AE"/>
    <w:rsid w:val="009D5EEA"/>
    <w:rsid w:val="009D5EFF"/>
    <w:rsid w:val="009D73FB"/>
    <w:rsid w:val="009E3080"/>
    <w:rsid w:val="009E6422"/>
    <w:rsid w:val="009F3FB6"/>
    <w:rsid w:val="009F48D6"/>
    <w:rsid w:val="009F66BD"/>
    <w:rsid w:val="009F6CFD"/>
    <w:rsid w:val="00A00A89"/>
    <w:rsid w:val="00A01F3E"/>
    <w:rsid w:val="00A01F81"/>
    <w:rsid w:val="00A02919"/>
    <w:rsid w:val="00A05B6F"/>
    <w:rsid w:val="00A068F7"/>
    <w:rsid w:val="00A0696C"/>
    <w:rsid w:val="00A06F3B"/>
    <w:rsid w:val="00A108E2"/>
    <w:rsid w:val="00A12B68"/>
    <w:rsid w:val="00A130B6"/>
    <w:rsid w:val="00A1394C"/>
    <w:rsid w:val="00A17005"/>
    <w:rsid w:val="00A17071"/>
    <w:rsid w:val="00A17106"/>
    <w:rsid w:val="00A20451"/>
    <w:rsid w:val="00A204EE"/>
    <w:rsid w:val="00A217C9"/>
    <w:rsid w:val="00A2337E"/>
    <w:rsid w:val="00A2596A"/>
    <w:rsid w:val="00A300D8"/>
    <w:rsid w:val="00A32C7A"/>
    <w:rsid w:val="00A32EB8"/>
    <w:rsid w:val="00A338BC"/>
    <w:rsid w:val="00A33DDB"/>
    <w:rsid w:val="00A36948"/>
    <w:rsid w:val="00A3779B"/>
    <w:rsid w:val="00A37AFB"/>
    <w:rsid w:val="00A40771"/>
    <w:rsid w:val="00A40ED1"/>
    <w:rsid w:val="00A44581"/>
    <w:rsid w:val="00A4563F"/>
    <w:rsid w:val="00A529BC"/>
    <w:rsid w:val="00A52E67"/>
    <w:rsid w:val="00A52ED3"/>
    <w:rsid w:val="00A5510F"/>
    <w:rsid w:val="00A566C0"/>
    <w:rsid w:val="00A63906"/>
    <w:rsid w:val="00A6425E"/>
    <w:rsid w:val="00A70040"/>
    <w:rsid w:val="00A71988"/>
    <w:rsid w:val="00A72099"/>
    <w:rsid w:val="00A72E47"/>
    <w:rsid w:val="00A73324"/>
    <w:rsid w:val="00A76630"/>
    <w:rsid w:val="00A76C31"/>
    <w:rsid w:val="00A7713F"/>
    <w:rsid w:val="00A800F8"/>
    <w:rsid w:val="00A8134E"/>
    <w:rsid w:val="00A81AA1"/>
    <w:rsid w:val="00A82A38"/>
    <w:rsid w:val="00A8610D"/>
    <w:rsid w:val="00A949C7"/>
    <w:rsid w:val="00AA0DB6"/>
    <w:rsid w:val="00AA13EF"/>
    <w:rsid w:val="00AA1FEA"/>
    <w:rsid w:val="00AA661E"/>
    <w:rsid w:val="00AA73B6"/>
    <w:rsid w:val="00AA7B6F"/>
    <w:rsid w:val="00AB11D8"/>
    <w:rsid w:val="00AB41E7"/>
    <w:rsid w:val="00AB4641"/>
    <w:rsid w:val="00AB5E61"/>
    <w:rsid w:val="00AC17CC"/>
    <w:rsid w:val="00AC2D65"/>
    <w:rsid w:val="00AC314B"/>
    <w:rsid w:val="00AC34A6"/>
    <w:rsid w:val="00AC49F9"/>
    <w:rsid w:val="00AC4C25"/>
    <w:rsid w:val="00AC4D6D"/>
    <w:rsid w:val="00AC76EA"/>
    <w:rsid w:val="00AD1F6D"/>
    <w:rsid w:val="00AD46C2"/>
    <w:rsid w:val="00AD5544"/>
    <w:rsid w:val="00AD69EE"/>
    <w:rsid w:val="00AD71A7"/>
    <w:rsid w:val="00AE23B3"/>
    <w:rsid w:val="00AE45A1"/>
    <w:rsid w:val="00AE6F5F"/>
    <w:rsid w:val="00AE6FBE"/>
    <w:rsid w:val="00AE77B0"/>
    <w:rsid w:val="00AF1A7E"/>
    <w:rsid w:val="00AF1DCF"/>
    <w:rsid w:val="00AF547F"/>
    <w:rsid w:val="00AF6C92"/>
    <w:rsid w:val="00B009D8"/>
    <w:rsid w:val="00B01769"/>
    <w:rsid w:val="00B02F0B"/>
    <w:rsid w:val="00B075C7"/>
    <w:rsid w:val="00B11F9B"/>
    <w:rsid w:val="00B1389D"/>
    <w:rsid w:val="00B13F5F"/>
    <w:rsid w:val="00B16120"/>
    <w:rsid w:val="00B17AB4"/>
    <w:rsid w:val="00B213BD"/>
    <w:rsid w:val="00B2689E"/>
    <w:rsid w:val="00B31021"/>
    <w:rsid w:val="00B32BD0"/>
    <w:rsid w:val="00B35193"/>
    <w:rsid w:val="00B368D9"/>
    <w:rsid w:val="00B36F32"/>
    <w:rsid w:val="00B403F6"/>
    <w:rsid w:val="00B4213D"/>
    <w:rsid w:val="00B42608"/>
    <w:rsid w:val="00B44276"/>
    <w:rsid w:val="00B45687"/>
    <w:rsid w:val="00B45C03"/>
    <w:rsid w:val="00B46CA2"/>
    <w:rsid w:val="00B47890"/>
    <w:rsid w:val="00B478E9"/>
    <w:rsid w:val="00B5056A"/>
    <w:rsid w:val="00B51FB2"/>
    <w:rsid w:val="00B53124"/>
    <w:rsid w:val="00B55202"/>
    <w:rsid w:val="00B60AB3"/>
    <w:rsid w:val="00B616B6"/>
    <w:rsid w:val="00B64453"/>
    <w:rsid w:val="00B67DCA"/>
    <w:rsid w:val="00B708F8"/>
    <w:rsid w:val="00B70CBC"/>
    <w:rsid w:val="00B7168A"/>
    <w:rsid w:val="00B732C3"/>
    <w:rsid w:val="00B7373E"/>
    <w:rsid w:val="00B73EDB"/>
    <w:rsid w:val="00B8162F"/>
    <w:rsid w:val="00B81F33"/>
    <w:rsid w:val="00B87828"/>
    <w:rsid w:val="00B921A2"/>
    <w:rsid w:val="00B923A0"/>
    <w:rsid w:val="00B92CA9"/>
    <w:rsid w:val="00B949B0"/>
    <w:rsid w:val="00B977ED"/>
    <w:rsid w:val="00BA1CEB"/>
    <w:rsid w:val="00BA4F7D"/>
    <w:rsid w:val="00BB0EAB"/>
    <w:rsid w:val="00BB30B6"/>
    <w:rsid w:val="00BB395F"/>
    <w:rsid w:val="00BB44A3"/>
    <w:rsid w:val="00BB50EF"/>
    <w:rsid w:val="00BC005A"/>
    <w:rsid w:val="00BC0290"/>
    <w:rsid w:val="00BC2416"/>
    <w:rsid w:val="00BC3C9F"/>
    <w:rsid w:val="00BC4010"/>
    <w:rsid w:val="00BC42F5"/>
    <w:rsid w:val="00BD2402"/>
    <w:rsid w:val="00BD2796"/>
    <w:rsid w:val="00BD282A"/>
    <w:rsid w:val="00BD65B7"/>
    <w:rsid w:val="00BD7760"/>
    <w:rsid w:val="00BE2BA3"/>
    <w:rsid w:val="00BE2F11"/>
    <w:rsid w:val="00BE3254"/>
    <w:rsid w:val="00BE34E2"/>
    <w:rsid w:val="00BE62D6"/>
    <w:rsid w:val="00BE77E3"/>
    <w:rsid w:val="00BF1424"/>
    <w:rsid w:val="00BF2347"/>
    <w:rsid w:val="00BF3356"/>
    <w:rsid w:val="00BF3A2E"/>
    <w:rsid w:val="00BF410C"/>
    <w:rsid w:val="00BF4235"/>
    <w:rsid w:val="00BF4909"/>
    <w:rsid w:val="00C01EEA"/>
    <w:rsid w:val="00C02F2E"/>
    <w:rsid w:val="00C044D5"/>
    <w:rsid w:val="00C056DC"/>
    <w:rsid w:val="00C101DC"/>
    <w:rsid w:val="00C107EB"/>
    <w:rsid w:val="00C10E08"/>
    <w:rsid w:val="00C1202F"/>
    <w:rsid w:val="00C120D7"/>
    <w:rsid w:val="00C13CCB"/>
    <w:rsid w:val="00C13EE0"/>
    <w:rsid w:val="00C14523"/>
    <w:rsid w:val="00C147F5"/>
    <w:rsid w:val="00C1560A"/>
    <w:rsid w:val="00C21CBF"/>
    <w:rsid w:val="00C222E2"/>
    <w:rsid w:val="00C43126"/>
    <w:rsid w:val="00C442F5"/>
    <w:rsid w:val="00C459BB"/>
    <w:rsid w:val="00C462A5"/>
    <w:rsid w:val="00C465B3"/>
    <w:rsid w:val="00C47417"/>
    <w:rsid w:val="00C4778A"/>
    <w:rsid w:val="00C5125F"/>
    <w:rsid w:val="00C53272"/>
    <w:rsid w:val="00C53C5F"/>
    <w:rsid w:val="00C5519E"/>
    <w:rsid w:val="00C601F3"/>
    <w:rsid w:val="00C61496"/>
    <w:rsid w:val="00C6259A"/>
    <w:rsid w:val="00C65B0F"/>
    <w:rsid w:val="00C67961"/>
    <w:rsid w:val="00C67DD0"/>
    <w:rsid w:val="00C702E7"/>
    <w:rsid w:val="00C715D9"/>
    <w:rsid w:val="00C725FC"/>
    <w:rsid w:val="00C73AAC"/>
    <w:rsid w:val="00C74D18"/>
    <w:rsid w:val="00C77CA9"/>
    <w:rsid w:val="00C8094B"/>
    <w:rsid w:val="00C80C9A"/>
    <w:rsid w:val="00C847DA"/>
    <w:rsid w:val="00C86C6F"/>
    <w:rsid w:val="00C90C67"/>
    <w:rsid w:val="00C90EB5"/>
    <w:rsid w:val="00C926AE"/>
    <w:rsid w:val="00C945A2"/>
    <w:rsid w:val="00C96540"/>
    <w:rsid w:val="00C97FA3"/>
    <w:rsid w:val="00CA2A22"/>
    <w:rsid w:val="00CA41E0"/>
    <w:rsid w:val="00CA4444"/>
    <w:rsid w:val="00CA534F"/>
    <w:rsid w:val="00CA64EB"/>
    <w:rsid w:val="00CB1555"/>
    <w:rsid w:val="00CB19D6"/>
    <w:rsid w:val="00CB443A"/>
    <w:rsid w:val="00CC1050"/>
    <w:rsid w:val="00CC266C"/>
    <w:rsid w:val="00CC57BA"/>
    <w:rsid w:val="00CC61CB"/>
    <w:rsid w:val="00CD07B6"/>
    <w:rsid w:val="00CD28AB"/>
    <w:rsid w:val="00CD6E23"/>
    <w:rsid w:val="00CE1D17"/>
    <w:rsid w:val="00CE28B2"/>
    <w:rsid w:val="00CE391E"/>
    <w:rsid w:val="00CE53F4"/>
    <w:rsid w:val="00CE6660"/>
    <w:rsid w:val="00CF3183"/>
    <w:rsid w:val="00CF394C"/>
    <w:rsid w:val="00CF574F"/>
    <w:rsid w:val="00CF5FFB"/>
    <w:rsid w:val="00CF61BA"/>
    <w:rsid w:val="00CF67BE"/>
    <w:rsid w:val="00D02CF2"/>
    <w:rsid w:val="00D02CF8"/>
    <w:rsid w:val="00D03119"/>
    <w:rsid w:val="00D056EB"/>
    <w:rsid w:val="00D07979"/>
    <w:rsid w:val="00D10D5C"/>
    <w:rsid w:val="00D15150"/>
    <w:rsid w:val="00D1782F"/>
    <w:rsid w:val="00D23096"/>
    <w:rsid w:val="00D235EF"/>
    <w:rsid w:val="00D239B7"/>
    <w:rsid w:val="00D2459C"/>
    <w:rsid w:val="00D25DE1"/>
    <w:rsid w:val="00D26403"/>
    <w:rsid w:val="00D33F7A"/>
    <w:rsid w:val="00D34FB2"/>
    <w:rsid w:val="00D35368"/>
    <w:rsid w:val="00D37AFB"/>
    <w:rsid w:val="00D402BC"/>
    <w:rsid w:val="00D411D0"/>
    <w:rsid w:val="00D43869"/>
    <w:rsid w:val="00D43E4D"/>
    <w:rsid w:val="00D441E9"/>
    <w:rsid w:val="00D54ABB"/>
    <w:rsid w:val="00D55786"/>
    <w:rsid w:val="00D55BC1"/>
    <w:rsid w:val="00D55FDA"/>
    <w:rsid w:val="00D630D9"/>
    <w:rsid w:val="00D64328"/>
    <w:rsid w:val="00D66E56"/>
    <w:rsid w:val="00D7069C"/>
    <w:rsid w:val="00D728F1"/>
    <w:rsid w:val="00D75061"/>
    <w:rsid w:val="00D75BA3"/>
    <w:rsid w:val="00D75F6D"/>
    <w:rsid w:val="00D77632"/>
    <w:rsid w:val="00D779CD"/>
    <w:rsid w:val="00D8113A"/>
    <w:rsid w:val="00D826B9"/>
    <w:rsid w:val="00D86354"/>
    <w:rsid w:val="00D864E5"/>
    <w:rsid w:val="00D866D9"/>
    <w:rsid w:val="00D90D6B"/>
    <w:rsid w:val="00D9142E"/>
    <w:rsid w:val="00D9209E"/>
    <w:rsid w:val="00D934E1"/>
    <w:rsid w:val="00D93729"/>
    <w:rsid w:val="00D93E74"/>
    <w:rsid w:val="00D96339"/>
    <w:rsid w:val="00D96AAA"/>
    <w:rsid w:val="00DA58C4"/>
    <w:rsid w:val="00DA7958"/>
    <w:rsid w:val="00DB2022"/>
    <w:rsid w:val="00DB42C3"/>
    <w:rsid w:val="00DB69AD"/>
    <w:rsid w:val="00DC049F"/>
    <w:rsid w:val="00DC08F7"/>
    <w:rsid w:val="00DC3220"/>
    <w:rsid w:val="00DC56B3"/>
    <w:rsid w:val="00DC72B1"/>
    <w:rsid w:val="00DD07ED"/>
    <w:rsid w:val="00DD2675"/>
    <w:rsid w:val="00DD3132"/>
    <w:rsid w:val="00DD46AB"/>
    <w:rsid w:val="00DD5C64"/>
    <w:rsid w:val="00DE1015"/>
    <w:rsid w:val="00DE3749"/>
    <w:rsid w:val="00DE6142"/>
    <w:rsid w:val="00DE6676"/>
    <w:rsid w:val="00DE7890"/>
    <w:rsid w:val="00DE7BA0"/>
    <w:rsid w:val="00DE7DB0"/>
    <w:rsid w:val="00DF1699"/>
    <w:rsid w:val="00DF1834"/>
    <w:rsid w:val="00DF6852"/>
    <w:rsid w:val="00DF7169"/>
    <w:rsid w:val="00DF7A02"/>
    <w:rsid w:val="00E0078B"/>
    <w:rsid w:val="00E00A8D"/>
    <w:rsid w:val="00E024A9"/>
    <w:rsid w:val="00E02E44"/>
    <w:rsid w:val="00E034A8"/>
    <w:rsid w:val="00E03A6E"/>
    <w:rsid w:val="00E052CC"/>
    <w:rsid w:val="00E05A25"/>
    <w:rsid w:val="00E06FA8"/>
    <w:rsid w:val="00E1015C"/>
    <w:rsid w:val="00E1404A"/>
    <w:rsid w:val="00E16D5A"/>
    <w:rsid w:val="00E20A3A"/>
    <w:rsid w:val="00E2377B"/>
    <w:rsid w:val="00E240B2"/>
    <w:rsid w:val="00E252E1"/>
    <w:rsid w:val="00E2607D"/>
    <w:rsid w:val="00E27ABF"/>
    <w:rsid w:val="00E31231"/>
    <w:rsid w:val="00E33544"/>
    <w:rsid w:val="00E41309"/>
    <w:rsid w:val="00E42ACF"/>
    <w:rsid w:val="00E4432F"/>
    <w:rsid w:val="00E44A53"/>
    <w:rsid w:val="00E476DD"/>
    <w:rsid w:val="00E50C53"/>
    <w:rsid w:val="00E51D15"/>
    <w:rsid w:val="00E54B70"/>
    <w:rsid w:val="00E56911"/>
    <w:rsid w:val="00E569F3"/>
    <w:rsid w:val="00E5757D"/>
    <w:rsid w:val="00E618C3"/>
    <w:rsid w:val="00E639BD"/>
    <w:rsid w:val="00E63D88"/>
    <w:rsid w:val="00E667BB"/>
    <w:rsid w:val="00E67608"/>
    <w:rsid w:val="00E74CFA"/>
    <w:rsid w:val="00E74E7A"/>
    <w:rsid w:val="00E75572"/>
    <w:rsid w:val="00E77E92"/>
    <w:rsid w:val="00E846C9"/>
    <w:rsid w:val="00E87567"/>
    <w:rsid w:val="00E87F03"/>
    <w:rsid w:val="00E90661"/>
    <w:rsid w:val="00E91008"/>
    <w:rsid w:val="00E93892"/>
    <w:rsid w:val="00E94877"/>
    <w:rsid w:val="00E94C6F"/>
    <w:rsid w:val="00E94D47"/>
    <w:rsid w:val="00E9572F"/>
    <w:rsid w:val="00E96FCE"/>
    <w:rsid w:val="00EA0F16"/>
    <w:rsid w:val="00EA121C"/>
    <w:rsid w:val="00EA345D"/>
    <w:rsid w:val="00EA40F1"/>
    <w:rsid w:val="00EA52C0"/>
    <w:rsid w:val="00EB4041"/>
    <w:rsid w:val="00EB646B"/>
    <w:rsid w:val="00EC24A4"/>
    <w:rsid w:val="00EC4047"/>
    <w:rsid w:val="00EC5788"/>
    <w:rsid w:val="00EC7B17"/>
    <w:rsid w:val="00ED5F8E"/>
    <w:rsid w:val="00EE39C7"/>
    <w:rsid w:val="00EE4A8D"/>
    <w:rsid w:val="00EE5208"/>
    <w:rsid w:val="00EE5AF3"/>
    <w:rsid w:val="00EF1539"/>
    <w:rsid w:val="00EF2CF8"/>
    <w:rsid w:val="00EF5EDB"/>
    <w:rsid w:val="00EF6982"/>
    <w:rsid w:val="00F035A8"/>
    <w:rsid w:val="00F06914"/>
    <w:rsid w:val="00F06BE5"/>
    <w:rsid w:val="00F07A92"/>
    <w:rsid w:val="00F07C10"/>
    <w:rsid w:val="00F07DD9"/>
    <w:rsid w:val="00F10182"/>
    <w:rsid w:val="00F11094"/>
    <w:rsid w:val="00F128D6"/>
    <w:rsid w:val="00F130E6"/>
    <w:rsid w:val="00F14373"/>
    <w:rsid w:val="00F171ED"/>
    <w:rsid w:val="00F23914"/>
    <w:rsid w:val="00F251D8"/>
    <w:rsid w:val="00F26930"/>
    <w:rsid w:val="00F30A9D"/>
    <w:rsid w:val="00F318E7"/>
    <w:rsid w:val="00F32F0C"/>
    <w:rsid w:val="00F35030"/>
    <w:rsid w:val="00F360A7"/>
    <w:rsid w:val="00F421ED"/>
    <w:rsid w:val="00F45C53"/>
    <w:rsid w:val="00F46234"/>
    <w:rsid w:val="00F62E96"/>
    <w:rsid w:val="00F757CE"/>
    <w:rsid w:val="00F81F83"/>
    <w:rsid w:val="00F82F6B"/>
    <w:rsid w:val="00F914ED"/>
    <w:rsid w:val="00F92F2C"/>
    <w:rsid w:val="00F94754"/>
    <w:rsid w:val="00F95522"/>
    <w:rsid w:val="00FA1C95"/>
    <w:rsid w:val="00FA350E"/>
    <w:rsid w:val="00FA4FF1"/>
    <w:rsid w:val="00FA5A91"/>
    <w:rsid w:val="00FA619F"/>
    <w:rsid w:val="00FA706C"/>
    <w:rsid w:val="00FA7307"/>
    <w:rsid w:val="00FA764C"/>
    <w:rsid w:val="00FB02B5"/>
    <w:rsid w:val="00FB327B"/>
    <w:rsid w:val="00FB5816"/>
    <w:rsid w:val="00FB77AC"/>
    <w:rsid w:val="00FB7FBB"/>
    <w:rsid w:val="00FC6393"/>
    <w:rsid w:val="00FC7497"/>
    <w:rsid w:val="00FC7BD6"/>
    <w:rsid w:val="00FD0B7C"/>
    <w:rsid w:val="00FD0F59"/>
    <w:rsid w:val="00FD22B3"/>
    <w:rsid w:val="00FD2EC9"/>
    <w:rsid w:val="00FD2F3B"/>
    <w:rsid w:val="00FD3595"/>
    <w:rsid w:val="00FD4930"/>
    <w:rsid w:val="00FD5017"/>
    <w:rsid w:val="00FD7A0C"/>
    <w:rsid w:val="00FE00ED"/>
    <w:rsid w:val="00FE33A7"/>
    <w:rsid w:val="00FE5799"/>
    <w:rsid w:val="00FE6553"/>
    <w:rsid w:val="00FE7655"/>
    <w:rsid w:val="00FE7696"/>
    <w:rsid w:val="00FE7C1C"/>
    <w:rsid w:val="00FF1FBB"/>
    <w:rsid w:val="00FF3663"/>
    <w:rsid w:val="00FF6037"/>
    <w:rsid w:val="00FF670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64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uiPriority w:val="9"/>
    <w:qFormat/>
    <w:rsid w:val="00010CE6"/>
    <w:pPr>
      <w:keepNext/>
      <w:numPr>
        <w:numId w:val="1"/>
      </w:numPr>
      <w:spacing w:before="240" w:after="60"/>
      <w:outlineLvl w:val="0"/>
    </w:pPr>
    <w:rPr>
      <w:rFonts w:ascii="Helvetica" w:eastAsia="MS Mincho" w:hAnsi="Helvetica" w:cs="Arial"/>
      <w:b/>
      <w:bCs/>
      <w:kern w:val="32"/>
      <w:sz w:val="32"/>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uiPriority w:val="9"/>
    <w:rsid w:val="00010CE6"/>
    <w:rPr>
      <w:rFonts w:ascii="Helvetica" w:eastAsia="MS Mincho" w:hAnsi="Helvetica" w:cs="Arial"/>
      <w:b/>
      <w:bCs/>
      <w:kern w:val="32"/>
      <w:sz w:val="32"/>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FootnoteText">
    <w:name w:val="footnote text"/>
    <w:basedOn w:val="Normal"/>
    <w:link w:val="FootnoteTextChar"/>
    <w:uiPriority w:val="99"/>
    <w:semiHidden/>
    <w:unhideWhenUsed/>
    <w:rsid w:val="00E1404A"/>
    <w:pPr>
      <w:overflowPunct w:val="0"/>
      <w:autoSpaceDE w:val="0"/>
      <w:autoSpaceDN w:val="0"/>
      <w:adjustRightInd w:val="0"/>
      <w:spacing w:after="180"/>
      <w:textAlignment w:val="baseline"/>
    </w:pPr>
    <w:rPr>
      <w:szCs w:val="20"/>
      <w:lang w:val="en-GB"/>
    </w:rPr>
  </w:style>
  <w:style w:type="character" w:customStyle="1" w:styleId="FootnoteTextChar">
    <w:name w:val="Footnote Text Char"/>
    <w:basedOn w:val="DefaultParagraphFont"/>
    <w:link w:val="FootnoteText"/>
    <w:uiPriority w:val="99"/>
    <w:semiHidden/>
    <w:rsid w:val="00E1404A"/>
    <w:rPr>
      <w:rFonts w:ascii="Times New Roman" w:eastAsia="Times New Roman" w:hAnsi="Times New Roman" w:cs="Times New Roman"/>
      <w:sz w:val="20"/>
      <w:szCs w:val="20"/>
      <w:lang w:val="en-GB"/>
    </w:rPr>
  </w:style>
  <w:style w:type="character" w:styleId="FootnoteReference">
    <w:name w:val="footnote reference"/>
    <w:uiPriority w:val="99"/>
    <w:semiHidden/>
    <w:unhideWhenUsed/>
    <w:rsid w:val="00E1404A"/>
    <w:rPr>
      <w:vertAlign w:val="superscript"/>
    </w:rPr>
  </w:style>
  <w:style w:type="paragraph" w:styleId="ListParagraph">
    <w:name w:val="List Paragraph"/>
    <w:basedOn w:val="Normal"/>
    <w:uiPriority w:val="34"/>
    <w:qFormat/>
    <w:rsid w:val="00E1404A"/>
    <w:pPr>
      <w:overflowPunct w:val="0"/>
      <w:autoSpaceDE w:val="0"/>
      <w:autoSpaceDN w:val="0"/>
      <w:adjustRightInd w:val="0"/>
      <w:spacing w:after="180"/>
      <w:ind w:left="720"/>
      <w:contextualSpacing/>
      <w:textAlignment w:val="baseline"/>
    </w:pPr>
    <w:rPr>
      <w:szCs w:val="20"/>
      <w:lang w:val="en-GB"/>
    </w:rPr>
  </w:style>
  <w:style w:type="paragraph" w:customStyle="1" w:styleId="Bulletedo1">
    <w:name w:val="Bulleted o 1"/>
    <w:basedOn w:val="Normal"/>
    <w:rsid w:val="00E06FA8"/>
    <w:pPr>
      <w:numPr>
        <w:numId w:val="6"/>
      </w:numPr>
      <w:overflowPunct w:val="0"/>
      <w:autoSpaceDE w:val="0"/>
      <w:autoSpaceDN w:val="0"/>
      <w:adjustRightInd w:val="0"/>
      <w:spacing w:after="180"/>
      <w:textAlignment w:val="baseline"/>
    </w:pPr>
    <w:rPr>
      <w:rFonts w:eastAsia="SimSun"/>
      <w:szCs w:val="20"/>
    </w:rPr>
  </w:style>
  <w:style w:type="paragraph" w:styleId="NormalWeb">
    <w:name w:val="Normal (Web)"/>
    <w:basedOn w:val="Normal"/>
    <w:uiPriority w:val="99"/>
    <w:unhideWhenUsed/>
    <w:rsid w:val="009D5EEA"/>
    <w:pPr>
      <w:spacing w:before="100" w:beforeAutospacing="1" w:after="100" w:afterAutospacing="1"/>
    </w:pPr>
    <w:rPr>
      <w:rFonts w:eastAsiaTheme="minorEastAsia"/>
      <w:sz w:val="24"/>
    </w:rPr>
  </w:style>
  <w:style w:type="paragraph" w:styleId="DocumentMap">
    <w:name w:val="Document Map"/>
    <w:basedOn w:val="Normal"/>
    <w:link w:val="DocumentMapChar"/>
    <w:uiPriority w:val="99"/>
    <w:semiHidden/>
    <w:unhideWhenUsed/>
    <w:rsid w:val="009372E8"/>
    <w:rPr>
      <w:rFonts w:ascii="Gulim" w:eastAsia="Gulim"/>
      <w:sz w:val="18"/>
      <w:szCs w:val="18"/>
    </w:rPr>
  </w:style>
  <w:style w:type="character" w:customStyle="1" w:styleId="DocumentMapChar">
    <w:name w:val="Document Map Char"/>
    <w:basedOn w:val="DefaultParagraphFont"/>
    <w:link w:val="DocumentMap"/>
    <w:uiPriority w:val="99"/>
    <w:semiHidden/>
    <w:rsid w:val="009372E8"/>
    <w:rPr>
      <w:rFonts w:ascii="Gulim" w:eastAsia="Gulim" w:hAnsi="Times New Roman" w:cs="Times New Roman"/>
      <w:sz w:val="18"/>
      <w:szCs w:val="18"/>
      <w:lang w:val="en-US"/>
    </w:rPr>
  </w:style>
  <w:style w:type="paragraph" w:styleId="BalloonText">
    <w:name w:val="Balloon Text"/>
    <w:basedOn w:val="Normal"/>
    <w:link w:val="BalloonTextChar"/>
    <w:uiPriority w:val="99"/>
    <w:semiHidden/>
    <w:unhideWhenUsed/>
    <w:rsid w:val="009372E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9372E8"/>
    <w:rPr>
      <w:rFonts w:asciiTheme="majorHAnsi" w:eastAsiaTheme="majorEastAsia" w:hAnsiTheme="majorHAnsi" w:cstheme="majorBidi"/>
      <w:sz w:val="18"/>
      <w:szCs w:val="18"/>
      <w:lang w:val="en-US"/>
    </w:rPr>
  </w:style>
  <w:style w:type="paragraph" w:styleId="Caption">
    <w:name w:val="caption"/>
    <w:basedOn w:val="Normal"/>
    <w:next w:val="Normal"/>
    <w:uiPriority w:val="35"/>
    <w:semiHidden/>
    <w:unhideWhenUsed/>
    <w:qFormat/>
    <w:rsid w:val="009372E8"/>
    <w:rPr>
      <w:b/>
      <w:bCs/>
      <w:szCs w:val="20"/>
    </w:rPr>
  </w:style>
  <w:style w:type="character" w:styleId="CommentReference">
    <w:name w:val="annotation reference"/>
    <w:basedOn w:val="DefaultParagraphFont"/>
    <w:uiPriority w:val="99"/>
    <w:semiHidden/>
    <w:unhideWhenUsed/>
    <w:rsid w:val="009B6E44"/>
    <w:rPr>
      <w:sz w:val="18"/>
      <w:szCs w:val="18"/>
    </w:rPr>
  </w:style>
  <w:style w:type="paragraph" w:styleId="CommentText">
    <w:name w:val="annotation text"/>
    <w:basedOn w:val="Normal"/>
    <w:link w:val="CommentTextChar"/>
    <w:uiPriority w:val="99"/>
    <w:semiHidden/>
    <w:unhideWhenUsed/>
    <w:rsid w:val="009B6E44"/>
  </w:style>
  <w:style w:type="character" w:customStyle="1" w:styleId="CommentTextChar">
    <w:name w:val="Comment Text Char"/>
    <w:basedOn w:val="DefaultParagraphFont"/>
    <w:link w:val="CommentText"/>
    <w:uiPriority w:val="99"/>
    <w:semiHidden/>
    <w:rsid w:val="009B6E44"/>
    <w:rPr>
      <w:rFonts w:ascii="Times New Roman" w:eastAsia="Times New Roman" w:hAnsi="Times New Roman" w:cs="Times New Roman"/>
      <w:sz w:val="20"/>
      <w:szCs w:val="24"/>
      <w:lang w:val="en-US"/>
    </w:rPr>
  </w:style>
  <w:style w:type="paragraph" w:styleId="CommentSubject">
    <w:name w:val="annotation subject"/>
    <w:basedOn w:val="CommentText"/>
    <w:next w:val="CommentText"/>
    <w:link w:val="CommentSubjectChar"/>
    <w:uiPriority w:val="99"/>
    <w:semiHidden/>
    <w:unhideWhenUsed/>
    <w:rsid w:val="009B6E44"/>
    <w:rPr>
      <w:b/>
      <w:bCs/>
    </w:rPr>
  </w:style>
  <w:style w:type="character" w:customStyle="1" w:styleId="CommentSubjectChar">
    <w:name w:val="Comment Subject Char"/>
    <w:basedOn w:val="CommentTextChar"/>
    <w:link w:val="CommentSubject"/>
    <w:uiPriority w:val="99"/>
    <w:semiHidden/>
    <w:rsid w:val="009B6E44"/>
    <w:rPr>
      <w:rFonts w:ascii="Times New Roman" w:eastAsia="Times New Roman" w:hAnsi="Times New Roman" w:cs="Times New Roman"/>
      <w:b/>
      <w:bCs/>
      <w:sz w:val="20"/>
      <w:szCs w:val="24"/>
      <w:lang w:val="en-US"/>
    </w:rPr>
  </w:style>
  <w:style w:type="character" w:customStyle="1" w:styleId="apple-converted-space">
    <w:name w:val="apple-converted-space"/>
    <w:basedOn w:val="DefaultParagraphFont"/>
    <w:rsid w:val="00F251D8"/>
  </w:style>
  <w:style w:type="table" w:customStyle="1" w:styleId="PlainTable11">
    <w:name w:val="Plain Table 11"/>
    <w:basedOn w:val="TableNormal"/>
    <w:uiPriority w:val="41"/>
    <w:rsid w:val="00C442F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A7713F"/>
    <w:rPr>
      <w:i/>
      <w:iCs/>
    </w:rPr>
  </w:style>
  <w:style w:type="table" w:styleId="TableGrid">
    <w:name w:val="Table Grid"/>
    <w:basedOn w:val="TableNormal"/>
    <w:uiPriority w:val="59"/>
    <w:rsid w:val="00B92CA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E2377B"/>
  </w:style>
  <w:style w:type="paragraph" w:customStyle="1" w:styleId="Style1">
    <w:name w:val="Style1"/>
    <w:basedOn w:val="Normal"/>
    <w:link w:val="Style1Char"/>
    <w:qFormat/>
    <w:rsid w:val="009B33D3"/>
    <w:pPr>
      <w:spacing w:after="180" w:line="312" w:lineRule="auto"/>
      <w:ind w:firstLine="360"/>
      <w:jc w:val="both"/>
    </w:pPr>
    <w:rPr>
      <w:rFonts w:eastAsia="Malgun Gothic" w:cs="Batang"/>
      <w:szCs w:val="20"/>
      <w:lang w:val="en-GB"/>
    </w:rPr>
  </w:style>
  <w:style w:type="character" w:customStyle="1" w:styleId="Style1Char">
    <w:name w:val="Style1 Char"/>
    <w:basedOn w:val="DefaultParagraphFont"/>
    <w:link w:val="Style1"/>
    <w:rsid w:val="009B33D3"/>
    <w:rPr>
      <w:rFonts w:ascii="Times New Roman" w:eastAsia="Malgun Gothic" w:hAnsi="Times New Roman" w:cs="Batang"/>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28942">
      <w:bodyDiv w:val="1"/>
      <w:marLeft w:val="0"/>
      <w:marRight w:val="0"/>
      <w:marTop w:val="0"/>
      <w:marBottom w:val="0"/>
      <w:divBdr>
        <w:top w:val="none" w:sz="0" w:space="0" w:color="auto"/>
        <w:left w:val="none" w:sz="0" w:space="0" w:color="auto"/>
        <w:bottom w:val="none" w:sz="0" w:space="0" w:color="auto"/>
        <w:right w:val="none" w:sz="0" w:space="0" w:color="auto"/>
      </w:divBdr>
    </w:div>
    <w:div w:id="49499569">
      <w:bodyDiv w:val="1"/>
      <w:marLeft w:val="0"/>
      <w:marRight w:val="0"/>
      <w:marTop w:val="0"/>
      <w:marBottom w:val="0"/>
      <w:divBdr>
        <w:top w:val="none" w:sz="0" w:space="0" w:color="auto"/>
        <w:left w:val="none" w:sz="0" w:space="0" w:color="auto"/>
        <w:bottom w:val="none" w:sz="0" w:space="0" w:color="auto"/>
        <w:right w:val="none" w:sz="0" w:space="0" w:color="auto"/>
      </w:divBdr>
    </w:div>
    <w:div w:id="135532169">
      <w:bodyDiv w:val="1"/>
      <w:marLeft w:val="0"/>
      <w:marRight w:val="0"/>
      <w:marTop w:val="0"/>
      <w:marBottom w:val="0"/>
      <w:divBdr>
        <w:top w:val="none" w:sz="0" w:space="0" w:color="auto"/>
        <w:left w:val="none" w:sz="0" w:space="0" w:color="auto"/>
        <w:bottom w:val="none" w:sz="0" w:space="0" w:color="auto"/>
        <w:right w:val="none" w:sz="0" w:space="0" w:color="auto"/>
      </w:divBdr>
    </w:div>
    <w:div w:id="162089306">
      <w:bodyDiv w:val="1"/>
      <w:marLeft w:val="0"/>
      <w:marRight w:val="0"/>
      <w:marTop w:val="0"/>
      <w:marBottom w:val="0"/>
      <w:divBdr>
        <w:top w:val="none" w:sz="0" w:space="0" w:color="auto"/>
        <w:left w:val="none" w:sz="0" w:space="0" w:color="auto"/>
        <w:bottom w:val="none" w:sz="0" w:space="0" w:color="auto"/>
        <w:right w:val="none" w:sz="0" w:space="0" w:color="auto"/>
      </w:divBdr>
    </w:div>
    <w:div w:id="168259896">
      <w:bodyDiv w:val="1"/>
      <w:marLeft w:val="0"/>
      <w:marRight w:val="0"/>
      <w:marTop w:val="0"/>
      <w:marBottom w:val="0"/>
      <w:divBdr>
        <w:top w:val="none" w:sz="0" w:space="0" w:color="auto"/>
        <w:left w:val="none" w:sz="0" w:space="0" w:color="auto"/>
        <w:bottom w:val="none" w:sz="0" w:space="0" w:color="auto"/>
        <w:right w:val="none" w:sz="0" w:space="0" w:color="auto"/>
      </w:divBdr>
    </w:div>
    <w:div w:id="202178961">
      <w:bodyDiv w:val="1"/>
      <w:marLeft w:val="0"/>
      <w:marRight w:val="0"/>
      <w:marTop w:val="0"/>
      <w:marBottom w:val="0"/>
      <w:divBdr>
        <w:top w:val="none" w:sz="0" w:space="0" w:color="auto"/>
        <w:left w:val="none" w:sz="0" w:space="0" w:color="auto"/>
        <w:bottom w:val="none" w:sz="0" w:space="0" w:color="auto"/>
        <w:right w:val="none" w:sz="0" w:space="0" w:color="auto"/>
      </w:divBdr>
    </w:div>
    <w:div w:id="244457485">
      <w:bodyDiv w:val="1"/>
      <w:marLeft w:val="0"/>
      <w:marRight w:val="0"/>
      <w:marTop w:val="0"/>
      <w:marBottom w:val="0"/>
      <w:divBdr>
        <w:top w:val="none" w:sz="0" w:space="0" w:color="auto"/>
        <w:left w:val="none" w:sz="0" w:space="0" w:color="auto"/>
        <w:bottom w:val="none" w:sz="0" w:space="0" w:color="auto"/>
        <w:right w:val="none" w:sz="0" w:space="0" w:color="auto"/>
      </w:divBdr>
    </w:div>
    <w:div w:id="263272875">
      <w:bodyDiv w:val="1"/>
      <w:marLeft w:val="0"/>
      <w:marRight w:val="0"/>
      <w:marTop w:val="0"/>
      <w:marBottom w:val="0"/>
      <w:divBdr>
        <w:top w:val="none" w:sz="0" w:space="0" w:color="auto"/>
        <w:left w:val="none" w:sz="0" w:space="0" w:color="auto"/>
        <w:bottom w:val="none" w:sz="0" w:space="0" w:color="auto"/>
        <w:right w:val="none" w:sz="0" w:space="0" w:color="auto"/>
      </w:divBdr>
    </w:div>
    <w:div w:id="281348769">
      <w:bodyDiv w:val="1"/>
      <w:marLeft w:val="0"/>
      <w:marRight w:val="0"/>
      <w:marTop w:val="0"/>
      <w:marBottom w:val="0"/>
      <w:divBdr>
        <w:top w:val="none" w:sz="0" w:space="0" w:color="auto"/>
        <w:left w:val="none" w:sz="0" w:space="0" w:color="auto"/>
        <w:bottom w:val="none" w:sz="0" w:space="0" w:color="auto"/>
        <w:right w:val="none" w:sz="0" w:space="0" w:color="auto"/>
      </w:divBdr>
    </w:div>
    <w:div w:id="297612461">
      <w:bodyDiv w:val="1"/>
      <w:marLeft w:val="0"/>
      <w:marRight w:val="0"/>
      <w:marTop w:val="0"/>
      <w:marBottom w:val="0"/>
      <w:divBdr>
        <w:top w:val="none" w:sz="0" w:space="0" w:color="auto"/>
        <w:left w:val="none" w:sz="0" w:space="0" w:color="auto"/>
        <w:bottom w:val="none" w:sz="0" w:space="0" w:color="auto"/>
        <w:right w:val="none" w:sz="0" w:space="0" w:color="auto"/>
      </w:divBdr>
    </w:div>
    <w:div w:id="330649039">
      <w:bodyDiv w:val="1"/>
      <w:marLeft w:val="0"/>
      <w:marRight w:val="0"/>
      <w:marTop w:val="0"/>
      <w:marBottom w:val="0"/>
      <w:divBdr>
        <w:top w:val="none" w:sz="0" w:space="0" w:color="auto"/>
        <w:left w:val="none" w:sz="0" w:space="0" w:color="auto"/>
        <w:bottom w:val="none" w:sz="0" w:space="0" w:color="auto"/>
        <w:right w:val="none" w:sz="0" w:space="0" w:color="auto"/>
      </w:divBdr>
    </w:div>
    <w:div w:id="373433165">
      <w:bodyDiv w:val="1"/>
      <w:marLeft w:val="0"/>
      <w:marRight w:val="0"/>
      <w:marTop w:val="0"/>
      <w:marBottom w:val="0"/>
      <w:divBdr>
        <w:top w:val="none" w:sz="0" w:space="0" w:color="auto"/>
        <w:left w:val="none" w:sz="0" w:space="0" w:color="auto"/>
        <w:bottom w:val="none" w:sz="0" w:space="0" w:color="auto"/>
        <w:right w:val="none" w:sz="0" w:space="0" w:color="auto"/>
      </w:divBdr>
    </w:div>
    <w:div w:id="464082241">
      <w:bodyDiv w:val="1"/>
      <w:marLeft w:val="0"/>
      <w:marRight w:val="0"/>
      <w:marTop w:val="0"/>
      <w:marBottom w:val="0"/>
      <w:divBdr>
        <w:top w:val="none" w:sz="0" w:space="0" w:color="auto"/>
        <w:left w:val="none" w:sz="0" w:space="0" w:color="auto"/>
        <w:bottom w:val="none" w:sz="0" w:space="0" w:color="auto"/>
        <w:right w:val="none" w:sz="0" w:space="0" w:color="auto"/>
      </w:divBdr>
    </w:div>
    <w:div w:id="473840636">
      <w:bodyDiv w:val="1"/>
      <w:marLeft w:val="0"/>
      <w:marRight w:val="0"/>
      <w:marTop w:val="0"/>
      <w:marBottom w:val="0"/>
      <w:divBdr>
        <w:top w:val="none" w:sz="0" w:space="0" w:color="auto"/>
        <w:left w:val="none" w:sz="0" w:space="0" w:color="auto"/>
        <w:bottom w:val="none" w:sz="0" w:space="0" w:color="auto"/>
        <w:right w:val="none" w:sz="0" w:space="0" w:color="auto"/>
      </w:divBdr>
    </w:div>
    <w:div w:id="483090597">
      <w:bodyDiv w:val="1"/>
      <w:marLeft w:val="0"/>
      <w:marRight w:val="0"/>
      <w:marTop w:val="0"/>
      <w:marBottom w:val="0"/>
      <w:divBdr>
        <w:top w:val="none" w:sz="0" w:space="0" w:color="auto"/>
        <w:left w:val="none" w:sz="0" w:space="0" w:color="auto"/>
        <w:bottom w:val="none" w:sz="0" w:space="0" w:color="auto"/>
        <w:right w:val="none" w:sz="0" w:space="0" w:color="auto"/>
      </w:divBdr>
    </w:div>
    <w:div w:id="488595902">
      <w:bodyDiv w:val="1"/>
      <w:marLeft w:val="0"/>
      <w:marRight w:val="0"/>
      <w:marTop w:val="0"/>
      <w:marBottom w:val="0"/>
      <w:divBdr>
        <w:top w:val="none" w:sz="0" w:space="0" w:color="auto"/>
        <w:left w:val="none" w:sz="0" w:space="0" w:color="auto"/>
        <w:bottom w:val="none" w:sz="0" w:space="0" w:color="auto"/>
        <w:right w:val="none" w:sz="0" w:space="0" w:color="auto"/>
      </w:divBdr>
    </w:div>
    <w:div w:id="538274788">
      <w:bodyDiv w:val="1"/>
      <w:marLeft w:val="0"/>
      <w:marRight w:val="0"/>
      <w:marTop w:val="0"/>
      <w:marBottom w:val="0"/>
      <w:divBdr>
        <w:top w:val="none" w:sz="0" w:space="0" w:color="auto"/>
        <w:left w:val="none" w:sz="0" w:space="0" w:color="auto"/>
        <w:bottom w:val="none" w:sz="0" w:space="0" w:color="auto"/>
        <w:right w:val="none" w:sz="0" w:space="0" w:color="auto"/>
      </w:divBdr>
    </w:div>
    <w:div w:id="571696423">
      <w:bodyDiv w:val="1"/>
      <w:marLeft w:val="0"/>
      <w:marRight w:val="0"/>
      <w:marTop w:val="0"/>
      <w:marBottom w:val="0"/>
      <w:divBdr>
        <w:top w:val="none" w:sz="0" w:space="0" w:color="auto"/>
        <w:left w:val="none" w:sz="0" w:space="0" w:color="auto"/>
        <w:bottom w:val="none" w:sz="0" w:space="0" w:color="auto"/>
        <w:right w:val="none" w:sz="0" w:space="0" w:color="auto"/>
      </w:divBdr>
    </w:div>
    <w:div w:id="582684894">
      <w:bodyDiv w:val="1"/>
      <w:marLeft w:val="0"/>
      <w:marRight w:val="0"/>
      <w:marTop w:val="0"/>
      <w:marBottom w:val="0"/>
      <w:divBdr>
        <w:top w:val="none" w:sz="0" w:space="0" w:color="auto"/>
        <w:left w:val="none" w:sz="0" w:space="0" w:color="auto"/>
        <w:bottom w:val="none" w:sz="0" w:space="0" w:color="auto"/>
        <w:right w:val="none" w:sz="0" w:space="0" w:color="auto"/>
      </w:divBdr>
    </w:div>
    <w:div w:id="607659357">
      <w:bodyDiv w:val="1"/>
      <w:marLeft w:val="0"/>
      <w:marRight w:val="0"/>
      <w:marTop w:val="0"/>
      <w:marBottom w:val="0"/>
      <w:divBdr>
        <w:top w:val="none" w:sz="0" w:space="0" w:color="auto"/>
        <w:left w:val="none" w:sz="0" w:space="0" w:color="auto"/>
        <w:bottom w:val="none" w:sz="0" w:space="0" w:color="auto"/>
        <w:right w:val="none" w:sz="0" w:space="0" w:color="auto"/>
      </w:divBdr>
    </w:div>
    <w:div w:id="652754441">
      <w:bodyDiv w:val="1"/>
      <w:marLeft w:val="0"/>
      <w:marRight w:val="0"/>
      <w:marTop w:val="0"/>
      <w:marBottom w:val="0"/>
      <w:divBdr>
        <w:top w:val="none" w:sz="0" w:space="0" w:color="auto"/>
        <w:left w:val="none" w:sz="0" w:space="0" w:color="auto"/>
        <w:bottom w:val="none" w:sz="0" w:space="0" w:color="auto"/>
        <w:right w:val="none" w:sz="0" w:space="0" w:color="auto"/>
      </w:divBdr>
    </w:div>
    <w:div w:id="707141267">
      <w:bodyDiv w:val="1"/>
      <w:marLeft w:val="0"/>
      <w:marRight w:val="0"/>
      <w:marTop w:val="0"/>
      <w:marBottom w:val="0"/>
      <w:divBdr>
        <w:top w:val="none" w:sz="0" w:space="0" w:color="auto"/>
        <w:left w:val="none" w:sz="0" w:space="0" w:color="auto"/>
        <w:bottom w:val="none" w:sz="0" w:space="0" w:color="auto"/>
        <w:right w:val="none" w:sz="0" w:space="0" w:color="auto"/>
      </w:divBdr>
    </w:div>
    <w:div w:id="713507107">
      <w:bodyDiv w:val="1"/>
      <w:marLeft w:val="0"/>
      <w:marRight w:val="0"/>
      <w:marTop w:val="0"/>
      <w:marBottom w:val="0"/>
      <w:divBdr>
        <w:top w:val="none" w:sz="0" w:space="0" w:color="auto"/>
        <w:left w:val="none" w:sz="0" w:space="0" w:color="auto"/>
        <w:bottom w:val="none" w:sz="0" w:space="0" w:color="auto"/>
        <w:right w:val="none" w:sz="0" w:space="0" w:color="auto"/>
      </w:divBdr>
    </w:div>
    <w:div w:id="715743675">
      <w:bodyDiv w:val="1"/>
      <w:marLeft w:val="0"/>
      <w:marRight w:val="0"/>
      <w:marTop w:val="0"/>
      <w:marBottom w:val="0"/>
      <w:divBdr>
        <w:top w:val="none" w:sz="0" w:space="0" w:color="auto"/>
        <w:left w:val="none" w:sz="0" w:space="0" w:color="auto"/>
        <w:bottom w:val="none" w:sz="0" w:space="0" w:color="auto"/>
        <w:right w:val="none" w:sz="0" w:space="0" w:color="auto"/>
      </w:divBdr>
    </w:div>
    <w:div w:id="766196897">
      <w:bodyDiv w:val="1"/>
      <w:marLeft w:val="0"/>
      <w:marRight w:val="0"/>
      <w:marTop w:val="0"/>
      <w:marBottom w:val="0"/>
      <w:divBdr>
        <w:top w:val="none" w:sz="0" w:space="0" w:color="auto"/>
        <w:left w:val="none" w:sz="0" w:space="0" w:color="auto"/>
        <w:bottom w:val="none" w:sz="0" w:space="0" w:color="auto"/>
        <w:right w:val="none" w:sz="0" w:space="0" w:color="auto"/>
      </w:divBdr>
    </w:div>
    <w:div w:id="816338614">
      <w:bodyDiv w:val="1"/>
      <w:marLeft w:val="0"/>
      <w:marRight w:val="0"/>
      <w:marTop w:val="0"/>
      <w:marBottom w:val="0"/>
      <w:divBdr>
        <w:top w:val="none" w:sz="0" w:space="0" w:color="auto"/>
        <w:left w:val="none" w:sz="0" w:space="0" w:color="auto"/>
        <w:bottom w:val="none" w:sz="0" w:space="0" w:color="auto"/>
        <w:right w:val="none" w:sz="0" w:space="0" w:color="auto"/>
      </w:divBdr>
    </w:div>
    <w:div w:id="844130230">
      <w:bodyDiv w:val="1"/>
      <w:marLeft w:val="0"/>
      <w:marRight w:val="0"/>
      <w:marTop w:val="0"/>
      <w:marBottom w:val="0"/>
      <w:divBdr>
        <w:top w:val="none" w:sz="0" w:space="0" w:color="auto"/>
        <w:left w:val="none" w:sz="0" w:space="0" w:color="auto"/>
        <w:bottom w:val="none" w:sz="0" w:space="0" w:color="auto"/>
        <w:right w:val="none" w:sz="0" w:space="0" w:color="auto"/>
      </w:divBdr>
    </w:div>
    <w:div w:id="860557560">
      <w:bodyDiv w:val="1"/>
      <w:marLeft w:val="0"/>
      <w:marRight w:val="0"/>
      <w:marTop w:val="0"/>
      <w:marBottom w:val="0"/>
      <w:divBdr>
        <w:top w:val="none" w:sz="0" w:space="0" w:color="auto"/>
        <w:left w:val="none" w:sz="0" w:space="0" w:color="auto"/>
        <w:bottom w:val="none" w:sz="0" w:space="0" w:color="auto"/>
        <w:right w:val="none" w:sz="0" w:space="0" w:color="auto"/>
      </w:divBdr>
    </w:div>
    <w:div w:id="869537542">
      <w:bodyDiv w:val="1"/>
      <w:marLeft w:val="0"/>
      <w:marRight w:val="0"/>
      <w:marTop w:val="0"/>
      <w:marBottom w:val="0"/>
      <w:divBdr>
        <w:top w:val="none" w:sz="0" w:space="0" w:color="auto"/>
        <w:left w:val="none" w:sz="0" w:space="0" w:color="auto"/>
        <w:bottom w:val="none" w:sz="0" w:space="0" w:color="auto"/>
        <w:right w:val="none" w:sz="0" w:space="0" w:color="auto"/>
      </w:divBdr>
    </w:div>
    <w:div w:id="934634924">
      <w:bodyDiv w:val="1"/>
      <w:marLeft w:val="0"/>
      <w:marRight w:val="0"/>
      <w:marTop w:val="0"/>
      <w:marBottom w:val="0"/>
      <w:divBdr>
        <w:top w:val="none" w:sz="0" w:space="0" w:color="auto"/>
        <w:left w:val="none" w:sz="0" w:space="0" w:color="auto"/>
        <w:bottom w:val="none" w:sz="0" w:space="0" w:color="auto"/>
        <w:right w:val="none" w:sz="0" w:space="0" w:color="auto"/>
      </w:divBdr>
    </w:div>
    <w:div w:id="998920135">
      <w:bodyDiv w:val="1"/>
      <w:marLeft w:val="0"/>
      <w:marRight w:val="0"/>
      <w:marTop w:val="0"/>
      <w:marBottom w:val="0"/>
      <w:divBdr>
        <w:top w:val="none" w:sz="0" w:space="0" w:color="auto"/>
        <w:left w:val="none" w:sz="0" w:space="0" w:color="auto"/>
        <w:bottom w:val="none" w:sz="0" w:space="0" w:color="auto"/>
        <w:right w:val="none" w:sz="0" w:space="0" w:color="auto"/>
      </w:divBdr>
    </w:div>
    <w:div w:id="1026247307">
      <w:bodyDiv w:val="1"/>
      <w:marLeft w:val="0"/>
      <w:marRight w:val="0"/>
      <w:marTop w:val="0"/>
      <w:marBottom w:val="0"/>
      <w:divBdr>
        <w:top w:val="none" w:sz="0" w:space="0" w:color="auto"/>
        <w:left w:val="none" w:sz="0" w:space="0" w:color="auto"/>
        <w:bottom w:val="none" w:sz="0" w:space="0" w:color="auto"/>
        <w:right w:val="none" w:sz="0" w:space="0" w:color="auto"/>
      </w:divBdr>
    </w:div>
    <w:div w:id="1043751804">
      <w:bodyDiv w:val="1"/>
      <w:marLeft w:val="0"/>
      <w:marRight w:val="0"/>
      <w:marTop w:val="0"/>
      <w:marBottom w:val="0"/>
      <w:divBdr>
        <w:top w:val="none" w:sz="0" w:space="0" w:color="auto"/>
        <w:left w:val="none" w:sz="0" w:space="0" w:color="auto"/>
        <w:bottom w:val="none" w:sz="0" w:space="0" w:color="auto"/>
        <w:right w:val="none" w:sz="0" w:space="0" w:color="auto"/>
      </w:divBdr>
    </w:div>
    <w:div w:id="1093353738">
      <w:bodyDiv w:val="1"/>
      <w:marLeft w:val="0"/>
      <w:marRight w:val="0"/>
      <w:marTop w:val="0"/>
      <w:marBottom w:val="0"/>
      <w:divBdr>
        <w:top w:val="none" w:sz="0" w:space="0" w:color="auto"/>
        <w:left w:val="none" w:sz="0" w:space="0" w:color="auto"/>
        <w:bottom w:val="none" w:sz="0" w:space="0" w:color="auto"/>
        <w:right w:val="none" w:sz="0" w:space="0" w:color="auto"/>
      </w:divBdr>
    </w:div>
    <w:div w:id="1097940108">
      <w:bodyDiv w:val="1"/>
      <w:marLeft w:val="0"/>
      <w:marRight w:val="0"/>
      <w:marTop w:val="0"/>
      <w:marBottom w:val="0"/>
      <w:divBdr>
        <w:top w:val="none" w:sz="0" w:space="0" w:color="auto"/>
        <w:left w:val="none" w:sz="0" w:space="0" w:color="auto"/>
        <w:bottom w:val="none" w:sz="0" w:space="0" w:color="auto"/>
        <w:right w:val="none" w:sz="0" w:space="0" w:color="auto"/>
      </w:divBdr>
    </w:div>
    <w:div w:id="1113327508">
      <w:bodyDiv w:val="1"/>
      <w:marLeft w:val="0"/>
      <w:marRight w:val="0"/>
      <w:marTop w:val="0"/>
      <w:marBottom w:val="0"/>
      <w:divBdr>
        <w:top w:val="none" w:sz="0" w:space="0" w:color="auto"/>
        <w:left w:val="none" w:sz="0" w:space="0" w:color="auto"/>
        <w:bottom w:val="none" w:sz="0" w:space="0" w:color="auto"/>
        <w:right w:val="none" w:sz="0" w:space="0" w:color="auto"/>
      </w:divBdr>
    </w:div>
    <w:div w:id="1116100827">
      <w:bodyDiv w:val="1"/>
      <w:marLeft w:val="0"/>
      <w:marRight w:val="0"/>
      <w:marTop w:val="0"/>
      <w:marBottom w:val="0"/>
      <w:divBdr>
        <w:top w:val="none" w:sz="0" w:space="0" w:color="auto"/>
        <w:left w:val="none" w:sz="0" w:space="0" w:color="auto"/>
        <w:bottom w:val="none" w:sz="0" w:space="0" w:color="auto"/>
        <w:right w:val="none" w:sz="0" w:space="0" w:color="auto"/>
      </w:divBdr>
    </w:div>
    <w:div w:id="1118142280">
      <w:bodyDiv w:val="1"/>
      <w:marLeft w:val="0"/>
      <w:marRight w:val="0"/>
      <w:marTop w:val="0"/>
      <w:marBottom w:val="0"/>
      <w:divBdr>
        <w:top w:val="none" w:sz="0" w:space="0" w:color="auto"/>
        <w:left w:val="none" w:sz="0" w:space="0" w:color="auto"/>
        <w:bottom w:val="none" w:sz="0" w:space="0" w:color="auto"/>
        <w:right w:val="none" w:sz="0" w:space="0" w:color="auto"/>
      </w:divBdr>
    </w:div>
    <w:div w:id="1133987766">
      <w:bodyDiv w:val="1"/>
      <w:marLeft w:val="0"/>
      <w:marRight w:val="0"/>
      <w:marTop w:val="0"/>
      <w:marBottom w:val="0"/>
      <w:divBdr>
        <w:top w:val="none" w:sz="0" w:space="0" w:color="auto"/>
        <w:left w:val="none" w:sz="0" w:space="0" w:color="auto"/>
        <w:bottom w:val="none" w:sz="0" w:space="0" w:color="auto"/>
        <w:right w:val="none" w:sz="0" w:space="0" w:color="auto"/>
      </w:divBdr>
    </w:div>
    <w:div w:id="1160082047">
      <w:bodyDiv w:val="1"/>
      <w:marLeft w:val="0"/>
      <w:marRight w:val="0"/>
      <w:marTop w:val="0"/>
      <w:marBottom w:val="0"/>
      <w:divBdr>
        <w:top w:val="none" w:sz="0" w:space="0" w:color="auto"/>
        <w:left w:val="none" w:sz="0" w:space="0" w:color="auto"/>
        <w:bottom w:val="none" w:sz="0" w:space="0" w:color="auto"/>
        <w:right w:val="none" w:sz="0" w:space="0" w:color="auto"/>
      </w:divBdr>
    </w:div>
    <w:div w:id="1165822276">
      <w:bodyDiv w:val="1"/>
      <w:marLeft w:val="0"/>
      <w:marRight w:val="0"/>
      <w:marTop w:val="0"/>
      <w:marBottom w:val="0"/>
      <w:divBdr>
        <w:top w:val="none" w:sz="0" w:space="0" w:color="auto"/>
        <w:left w:val="none" w:sz="0" w:space="0" w:color="auto"/>
        <w:bottom w:val="none" w:sz="0" w:space="0" w:color="auto"/>
        <w:right w:val="none" w:sz="0" w:space="0" w:color="auto"/>
      </w:divBdr>
    </w:div>
    <w:div w:id="1216821058">
      <w:bodyDiv w:val="1"/>
      <w:marLeft w:val="0"/>
      <w:marRight w:val="0"/>
      <w:marTop w:val="0"/>
      <w:marBottom w:val="0"/>
      <w:divBdr>
        <w:top w:val="none" w:sz="0" w:space="0" w:color="auto"/>
        <w:left w:val="none" w:sz="0" w:space="0" w:color="auto"/>
        <w:bottom w:val="none" w:sz="0" w:space="0" w:color="auto"/>
        <w:right w:val="none" w:sz="0" w:space="0" w:color="auto"/>
      </w:divBdr>
    </w:div>
    <w:div w:id="1218473312">
      <w:bodyDiv w:val="1"/>
      <w:marLeft w:val="0"/>
      <w:marRight w:val="0"/>
      <w:marTop w:val="0"/>
      <w:marBottom w:val="0"/>
      <w:divBdr>
        <w:top w:val="none" w:sz="0" w:space="0" w:color="auto"/>
        <w:left w:val="none" w:sz="0" w:space="0" w:color="auto"/>
        <w:bottom w:val="none" w:sz="0" w:space="0" w:color="auto"/>
        <w:right w:val="none" w:sz="0" w:space="0" w:color="auto"/>
      </w:divBdr>
    </w:div>
    <w:div w:id="1233808264">
      <w:bodyDiv w:val="1"/>
      <w:marLeft w:val="0"/>
      <w:marRight w:val="0"/>
      <w:marTop w:val="0"/>
      <w:marBottom w:val="0"/>
      <w:divBdr>
        <w:top w:val="none" w:sz="0" w:space="0" w:color="auto"/>
        <w:left w:val="none" w:sz="0" w:space="0" w:color="auto"/>
        <w:bottom w:val="none" w:sz="0" w:space="0" w:color="auto"/>
        <w:right w:val="none" w:sz="0" w:space="0" w:color="auto"/>
      </w:divBdr>
    </w:div>
    <w:div w:id="1267807398">
      <w:bodyDiv w:val="1"/>
      <w:marLeft w:val="0"/>
      <w:marRight w:val="0"/>
      <w:marTop w:val="0"/>
      <w:marBottom w:val="0"/>
      <w:divBdr>
        <w:top w:val="none" w:sz="0" w:space="0" w:color="auto"/>
        <w:left w:val="none" w:sz="0" w:space="0" w:color="auto"/>
        <w:bottom w:val="none" w:sz="0" w:space="0" w:color="auto"/>
        <w:right w:val="none" w:sz="0" w:space="0" w:color="auto"/>
      </w:divBdr>
    </w:div>
    <w:div w:id="1295023534">
      <w:bodyDiv w:val="1"/>
      <w:marLeft w:val="0"/>
      <w:marRight w:val="0"/>
      <w:marTop w:val="0"/>
      <w:marBottom w:val="0"/>
      <w:divBdr>
        <w:top w:val="none" w:sz="0" w:space="0" w:color="auto"/>
        <w:left w:val="none" w:sz="0" w:space="0" w:color="auto"/>
        <w:bottom w:val="none" w:sz="0" w:space="0" w:color="auto"/>
        <w:right w:val="none" w:sz="0" w:space="0" w:color="auto"/>
      </w:divBdr>
    </w:div>
    <w:div w:id="1319110652">
      <w:bodyDiv w:val="1"/>
      <w:marLeft w:val="0"/>
      <w:marRight w:val="0"/>
      <w:marTop w:val="0"/>
      <w:marBottom w:val="0"/>
      <w:divBdr>
        <w:top w:val="none" w:sz="0" w:space="0" w:color="auto"/>
        <w:left w:val="none" w:sz="0" w:space="0" w:color="auto"/>
        <w:bottom w:val="none" w:sz="0" w:space="0" w:color="auto"/>
        <w:right w:val="none" w:sz="0" w:space="0" w:color="auto"/>
      </w:divBdr>
    </w:div>
    <w:div w:id="1319114543">
      <w:bodyDiv w:val="1"/>
      <w:marLeft w:val="0"/>
      <w:marRight w:val="0"/>
      <w:marTop w:val="0"/>
      <w:marBottom w:val="0"/>
      <w:divBdr>
        <w:top w:val="none" w:sz="0" w:space="0" w:color="auto"/>
        <w:left w:val="none" w:sz="0" w:space="0" w:color="auto"/>
        <w:bottom w:val="none" w:sz="0" w:space="0" w:color="auto"/>
        <w:right w:val="none" w:sz="0" w:space="0" w:color="auto"/>
      </w:divBdr>
    </w:div>
    <w:div w:id="1376615445">
      <w:bodyDiv w:val="1"/>
      <w:marLeft w:val="0"/>
      <w:marRight w:val="0"/>
      <w:marTop w:val="0"/>
      <w:marBottom w:val="0"/>
      <w:divBdr>
        <w:top w:val="none" w:sz="0" w:space="0" w:color="auto"/>
        <w:left w:val="none" w:sz="0" w:space="0" w:color="auto"/>
        <w:bottom w:val="none" w:sz="0" w:space="0" w:color="auto"/>
        <w:right w:val="none" w:sz="0" w:space="0" w:color="auto"/>
      </w:divBdr>
    </w:div>
    <w:div w:id="1381320917">
      <w:bodyDiv w:val="1"/>
      <w:marLeft w:val="0"/>
      <w:marRight w:val="0"/>
      <w:marTop w:val="0"/>
      <w:marBottom w:val="0"/>
      <w:divBdr>
        <w:top w:val="none" w:sz="0" w:space="0" w:color="auto"/>
        <w:left w:val="none" w:sz="0" w:space="0" w:color="auto"/>
        <w:bottom w:val="none" w:sz="0" w:space="0" w:color="auto"/>
        <w:right w:val="none" w:sz="0" w:space="0" w:color="auto"/>
      </w:divBdr>
    </w:div>
    <w:div w:id="1383024230">
      <w:bodyDiv w:val="1"/>
      <w:marLeft w:val="0"/>
      <w:marRight w:val="0"/>
      <w:marTop w:val="0"/>
      <w:marBottom w:val="0"/>
      <w:divBdr>
        <w:top w:val="none" w:sz="0" w:space="0" w:color="auto"/>
        <w:left w:val="none" w:sz="0" w:space="0" w:color="auto"/>
        <w:bottom w:val="none" w:sz="0" w:space="0" w:color="auto"/>
        <w:right w:val="none" w:sz="0" w:space="0" w:color="auto"/>
      </w:divBdr>
    </w:div>
    <w:div w:id="1411152724">
      <w:bodyDiv w:val="1"/>
      <w:marLeft w:val="0"/>
      <w:marRight w:val="0"/>
      <w:marTop w:val="0"/>
      <w:marBottom w:val="0"/>
      <w:divBdr>
        <w:top w:val="none" w:sz="0" w:space="0" w:color="auto"/>
        <w:left w:val="none" w:sz="0" w:space="0" w:color="auto"/>
        <w:bottom w:val="none" w:sz="0" w:space="0" w:color="auto"/>
        <w:right w:val="none" w:sz="0" w:space="0" w:color="auto"/>
      </w:divBdr>
    </w:div>
    <w:div w:id="1414737148">
      <w:bodyDiv w:val="1"/>
      <w:marLeft w:val="0"/>
      <w:marRight w:val="0"/>
      <w:marTop w:val="0"/>
      <w:marBottom w:val="0"/>
      <w:divBdr>
        <w:top w:val="none" w:sz="0" w:space="0" w:color="auto"/>
        <w:left w:val="none" w:sz="0" w:space="0" w:color="auto"/>
        <w:bottom w:val="none" w:sz="0" w:space="0" w:color="auto"/>
        <w:right w:val="none" w:sz="0" w:space="0" w:color="auto"/>
      </w:divBdr>
    </w:div>
    <w:div w:id="1426610647">
      <w:bodyDiv w:val="1"/>
      <w:marLeft w:val="0"/>
      <w:marRight w:val="0"/>
      <w:marTop w:val="0"/>
      <w:marBottom w:val="0"/>
      <w:divBdr>
        <w:top w:val="none" w:sz="0" w:space="0" w:color="auto"/>
        <w:left w:val="none" w:sz="0" w:space="0" w:color="auto"/>
        <w:bottom w:val="none" w:sz="0" w:space="0" w:color="auto"/>
        <w:right w:val="none" w:sz="0" w:space="0" w:color="auto"/>
      </w:divBdr>
    </w:div>
    <w:div w:id="1510221694">
      <w:bodyDiv w:val="1"/>
      <w:marLeft w:val="0"/>
      <w:marRight w:val="0"/>
      <w:marTop w:val="0"/>
      <w:marBottom w:val="0"/>
      <w:divBdr>
        <w:top w:val="none" w:sz="0" w:space="0" w:color="auto"/>
        <w:left w:val="none" w:sz="0" w:space="0" w:color="auto"/>
        <w:bottom w:val="none" w:sz="0" w:space="0" w:color="auto"/>
        <w:right w:val="none" w:sz="0" w:space="0" w:color="auto"/>
      </w:divBdr>
    </w:div>
    <w:div w:id="1529680588">
      <w:bodyDiv w:val="1"/>
      <w:marLeft w:val="0"/>
      <w:marRight w:val="0"/>
      <w:marTop w:val="0"/>
      <w:marBottom w:val="0"/>
      <w:divBdr>
        <w:top w:val="none" w:sz="0" w:space="0" w:color="auto"/>
        <w:left w:val="none" w:sz="0" w:space="0" w:color="auto"/>
        <w:bottom w:val="none" w:sz="0" w:space="0" w:color="auto"/>
        <w:right w:val="none" w:sz="0" w:space="0" w:color="auto"/>
      </w:divBdr>
    </w:div>
    <w:div w:id="1535267684">
      <w:bodyDiv w:val="1"/>
      <w:marLeft w:val="0"/>
      <w:marRight w:val="0"/>
      <w:marTop w:val="0"/>
      <w:marBottom w:val="0"/>
      <w:divBdr>
        <w:top w:val="none" w:sz="0" w:space="0" w:color="auto"/>
        <w:left w:val="none" w:sz="0" w:space="0" w:color="auto"/>
        <w:bottom w:val="none" w:sz="0" w:space="0" w:color="auto"/>
        <w:right w:val="none" w:sz="0" w:space="0" w:color="auto"/>
      </w:divBdr>
    </w:div>
    <w:div w:id="1553076379">
      <w:bodyDiv w:val="1"/>
      <w:marLeft w:val="0"/>
      <w:marRight w:val="0"/>
      <w:marTop w:val="0"/>
      <w:marBottom w:val="0"/>
      <w:divBdr>
        <w:top w:val="none" w:sz="0" w:space="0" w:color="auto"/>
        <w:left w:val="none" w:sz="0" w:space="0" w:color="auto"/>
        <w:bottom w:val="none" w:sz="0" w:space="0" w:color="auto"/>
        <w:right w:val="none" w:sz="0" w:space="0" w:color="auto"/>
      </w:divBdr>
    </w:div>
    <w:div w:id="1737974526">
      <w:bodyDiv w:val="1"/>
      <w:marLeft w:val="0"/>
      <w:marRight w:val="0"/>
      <w:marTop w:val="0"/>
      <w:marBottom w:val="0"/>
      <w:divBdr>
        <w:top w:val="none" w:sz="0" w:space="0" w:color="auto"/>
        <w:left w:val="none" w:sz="0" w:space="0" w:color="auto"/>
        <w:bottom w:val="none" w:sz="0" w:space="0" w:color="auto"/>
        <w:right w:val="none" w:sz="0" w:space="0" w:color="auto"/>
      </w:divBdr>
    </w:div>
    <w:div w:id="1745763585">
      <w:bodyDiv w:val="1"/>
      <w:marLeft w:val="0"/>
      <w:marRight w:val="0"/>
      <w:marTop w:val="0"/>
      <w:marBottom w:val="0"/>
      <w:divBdr>
        <w:top w:val="none" w:sz="0" w:space="0" w:color="auto"/>
        <w:left w:val="none" w:sz="0" w:space="0" w:color="auto"/>
        <w:bottom w:val="none" w:sz="0" w:space="0" w:color="auto"/>
        <w:right w:val="none" w:sz="0" w:space="0" w:color="auto"/>
      </w:divBdr>
    </w:div>
    <w:div w:id="1830907030">
      <w:bodyDiv w:val="1"/>
      <w:marLeft w:val="0"/>
      <w:marRight w:val="0"/>
      <w:marTop w:val="0"/>
      <w:marBottom w:val="0"/>
      <w:divBdr>
        <w:top w:val="none" w:sz="0" w:space="0" w:color="auto"/>
        <w:left w:val="none" w:sz="0" w:space="0" w:color="auto"/>
        <w:bottom w:val="none" w:sz="0" w:space="0" w:color="auto"/>
        <w:right w:val="none" w:sz="0" w:space="0" w:color="auto"/>
      </w:divBdr>
    </w:div>
    <w:div w:id="1859074600">
      <w:bodyDiv w:val="1"/>
      <w:marLeft w:val="0"/>
      <w:marRight w:val="0"/>
      <w:marTop w:val="0"/>
      <w:marBottom w:val="0"/>
      <w:divBdr>
        <w:top w:val="none" w:sz="0" w:space="0" w:color="auto"/>
        <w:left w:val="none" w:sz="0" w:space="0" w:color="auto"/>
        <w:bottom w:val="none" w:sz="0" w:space="0" w:color="auto"/>
        <w:right w:val="none" w:sz="0" w:space="0" w:color="auto"/>
      </w:divBdr>
    </w:div>
    <w:div w:id="1912814478">
      <w:bodyDiv w:val="1"/>
      <w:marLeft w:val="0"/>
      <w:marRight w:val="0"/>
      <w:marTop w:val="0"/>
      <w:marBottom w:val="0"/>
      <w:divBdr>
        <w:top w:val="none" w:sz="0" w:space="0" w:color="auto"/>
        <w:left w:val="none" w:sz="0" w:space="0" w:color="auto"/>
        <w:bottom w:val="none" w:sz="0" w:space="0" w:color="auto"/>
        <w:right w:val="none" w:sz="0" w:space="0" w:color="auto"/>
      </w:divBdr>
    </w:div>
    <w:div w:id="1923753731">
      <w:bodyDiv w:val="1"/>
      <w:marLeft w:val="0"/>
      <w:marRight w:val="0"/>
      <w:marTop w:val="0"/>
      <w:marBottom w:val="0"/>
      <w:divBdr>
        <w:top w:val="none" w:sz="0" w:space="0" w:color="auto"/>
        <w:left w:val="none" w:sz="0" w:space="0" w:color="auto"/>
        <w:bottom w:val="none" w:sz="0" w:space="0" w:color="auto"/>
        <w:right w:val="none" w:sz="0" w:space="0" w:color="auto"/>
      </w:divBdr>
    </w:div>
    <w:div w:id="1929578610">
      <w:bodyDiv w:val="1"/>
      <w:marLeft w:val="0"/>
      <w:marRight w:val="0"/>
      <w:marTop w:val="0"/>
      <w:marBottom w:val="0"/>
      <w:divBdr>
        <w:top w:val="none" w:sz="0" w:space="0" w:color="auto"/>
        <w:left w:val="none" w:sz="0" w:space="0" w:color="auto"/>
        <w:bottom w:val="none" w:sz="0" w:space="0" w:color="auto"/>
        <w:right w:val="none" w:sz="0" w:space="0" w:color="auto"/>
      </w:divBdr>
    </w:div>
    <w:div w:id="1937706367">
      <w:bodyDiv w:val="1"/>
      <w:marLeft w:val="0"/>
      <w:marRight w:val="0"/>
      <w:marTop w:val="0"/>
      <w:marBottom w:val="0"/>
      <w:divBdr>
        <w:top w:val="none" w:sz="0" w:space="0" w:color="auto"/>
        <w:left w:val="none" w:sz="0" w:space="0" w:color="auto"/>
        <w:bottom w:val="none" w:sz="0" w:space="0" w:color="auto"/>
        <w:right w:val="none" w:sz="0" w:space="0" w:color="auto"/>
      </w:divBdr>
    </w:div>
    <w:div w:id="1952661233">
      <w:bodyDiv w:val="1"/>
      <w:marLeft w:val="0"/>
      <w:marRight w:val="0"/>
      <w:marTop w:val="0"/>
      <w:marBottom w:val="0"/>
      <w:divBdr>
        <w:top w:val="none" w:sz="0" w:space="0" w:color="auto"/>
        <w:left w:val="none" w:sz="0" w:space="0" w:color="auto"/>
        <w:bottom w:val="none" w:sz="0" w:space="0" w:color="auto"/>
        <w:right w:val="none" w:sz="0" w:space="0" w:color="auto"/>
      </w:divBdr>
    </w:div>
    <w:div w:id="1957364613">
      <w:bodyDiv w:val="1"/>
      <w:marLeft w:val="0"/>
      <w:marRight w:val="0"/>
      <w:marTop w:val="0"/>
      <w:marBottom w:val="0"/>
      <w:divBdr>
        <w:top w:val="none" w:sz="0" w:space="0" w:color="auto"/>
        <w:left w:val="none" w:sz="0" w:space="0" w:color="auto"/>
        <w:bottom w:val="none" w:sz="0" w:space="0" w:color="auto"/>
        <w:right w:val="none" w:sz="0" w:space="0" w:color="auto"/>
      </w:divBdr>
    </w:div>
    <w:div w:id="1986929390">
      <w:bodyDiv w:val="1"/>
      <w:marLeft w:val="0"/>
      <w:marRight w:val="0"/>
      <w:marTop w:val="0"/>
      <w:marBottom w:val="0"/>
      <w:divBdr>
        <w:top w:val="none" w:sz="0" w:space="0" w:color="auto"/>
        <w:left w:val="none" w:sz="0" w:space="0" w:color="auto"/>
        <w:bottom w:val="none" w:sz="0" w:space="0" w:color="auto"/>
        <w:right w:val="none" w:sz="0" w:space="0" w:color="auto"/>
      </w:divBdr>
    </w:div>
    <w:div w:id="2113818690">
      <w:bodyDiv w:val="1"/>
      <w:marLeft w:val="0"/>
      <w:marRight w:val="0"/>
      <w:marTop w:val="0"/>
      <w:marBottom w:val="0"/>
      <w:divBdr>
        <w:top w:val="none" w:sz="0" w:space="0" w:color="auto"/>
        <w:left w:val="none" w:sz="0" w:space="0" w:color="auto"/>
        <w:bottom w:val="none" w:sz="0" w:space="0" w:color="auto"/>
        <w:right w:val="none" w:sz="0" w:space="0" w:color="auto"/>
      </w:divBdr>
    </w:div>
    <w:div w:id="2121023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Huawei1610634</b:Tag>
    <b:SourceType>JournalArticle</b:SourceType>
    <b:Guid>{03326C76-7B83-47A6-884A-139951FF0E83}</b:Guid>
    <b:Title>General discussion on flexible duplex in dense urban scenario</b:Title>
    <b:Year>10-14 Oct. 2016</b:Year>
    <b:Author>
      <b:Author>
        <b:NameList>
          <b:Person>
            <b:Last>R1-1610634</b:Last>
          </b:Person>
        </b:NameList>
      </b:Author>
    </b:Author>
    <b:JournalName>Huawei, HiSilicon, 3GPP TSG RAN WG1 Meeting #86BIS, Lisbon, Portugal</b:JournalName>
    <b:RefOrder>3</b:RefOrder>
  </b:Source>
  <b:Source>
    <b:Tag>Huawei1609424</b:Tag>
    <b:SourceType>JournalArticle</b:SourceType>
    <b:Guid>{FE223A73-0263-4CA0-91B8-B23428E20133}</b:Guid>
    <b:Title>Evaluation of flexible duplex in urban macro scenario</b:Title>
    <b:Year>10-14 Oct. 2016</b:Year>
    <b:Author>
      <b:Author>
        <b:NameList>
          <b:Person>
            <b:Last>R1-1609424</b:Last>
          </b:Person>
        </b:NameList>
      </b:Author>
    </b:Author>
    <b:JournalName>Huawei, HiSilicon, 3GPP TSG RAN WG1 Meeting #86BIS, Lisbon, Portugal</b:JournalName>
    <b:RefOrder>1</b:RefOrder>
  </b:Source>
  <b:Source>
    <b:Tag>Huawei1609422</b:Tag>
    <b:SourceType>JournalArticle</b:SourceType>
    <b:Guid>{E395CED2-E2BC-44CA-A81A-7DBDC260F2C6}</b:Guid>
    <b:Title>Evaluation of flexible duplex in indooor hotspot scenario</b:Title>
    <b:Year>10-14 Oct. 2016</b:Year>
    <b:Author>
      <b:Author>
        <b:NameList>
          <b:Person>
            <b:Last>R1-1609422</b:Last>
          </b:Person>
        </b:NameList>
      </b:Author>
    </b:Author>
    <b:JournalName>Huawei, HiSilicon, 3GPP TSG RAN WG1 Meeting #86BIS, Lisbon, Portugal,</b:JournalName>
    <b:RefOrder>2</b:RefOrder>
  </b:Source>
  <b:Source>
    <b:Tag>Huawei1609421</b:Tag>
    <b:SourceType>JournalArticle</b:SourceType>
    <b:Guid>{1D69C047-E32E-49EE-81EF-16B28803B657}</b:Guid>
    <b:Title>General discussion on flexible duplex</b:Title>
    <b:Year>10-14 Oct. 2016</b:Year>
    <b:Author>
      <b:Author>
        <b:NameList>
          <b:Person>
            <b:Last>R1-1609421</b:Last>
          </b:Person>
        </b:NameList>
      </b:Author>
    </b:Author>
    <b:JournalName>Huawei, HiSilicon, 3GPP TSG RAN WG1 Meeting #86BIS, Lisbon, Portugal</b:JournalName>
    <b:RefOrder>4</b:RefOrder>
  </b:Source>
  <b:Source>
    <b:Tag>Huawei1608830</b:Tag>
    <b:SourceType>JournalArticle</b:SourceType>
    <b:Guid>{DBF3BDC1-4C9C-42A2-AF85-695BD9FED6C8}</b:Guid>
    <b:Title>Discussion on TRP-to-TRP interference mitigation schemes</b:Title>
    <b:Year>10-14 Oct. 2016</b:Year>
    <b:Author>
      <b:Author>
        <b:NameList>
          <b:Person>
            <b:Last>R1-1608830</b:Last>
          </b:Person>
        </b:NameList>
      </b:Author>
    </b:Author>
    <b:JournalName>Huawei, HiSilicon, 3GPP TSG RAN WG1 Meeting #86BIS, Lisbon, Portugal</b:JournalName>
    <b:RefOrder>5</b:RefOrder>
  </b:Source>
  <b:Source>
    <b:Tag>Huawei167235</b:Tag>
    <b:SourceType>JournalArticle</b:SourceType>
    <b:Guid>{B9AA9BF3-6B13-4762-BCCA-0596EBF14FB3}</b:Guid>
    <b:Title>Forward compatibility on duplexing</b:Title>
    <b:Year>22-26 Aug. 2016</b:Year>
    <b:Author>
      <b:Author>
        <b:NameList>
          <b:Person>
            <b:Last>R1-167235</b:Last>
          </b:Person>
        </b:NameList>
      </b:Author>
    </b:Author>
    <b:JournalName>Huawei, HiSilicon, 3GPP TSG RAN WG1 Meeting #86,Gothenburg, Sweden</b:JournalName>
    <b:RefOrder>6</b:RefOrder>
  </b:Source>
  <b:Source>
    <b:Tag>Ericsson1610219</b:Tag>
    <b:SourceType>JournalArticle</b:SourceType>
    <b:Guid>{84EA94ED-35C5-4645-8A8B-F112D763F00B}</b:Guid>
    <b:Title>On flexible duplexing and associated interference management techniques</b:Title>
    <b:Year>22-26 Aug. 2016</b:Year>
    <b:Author>
      <b:Author>
        <b:NameList>
          <b:Person>
            <b:Last>R1-1610219</b:Last>
          </b:Person>
        </b:NameList>
      </b:Author>
    </b:Author>
    <b:JournalName>Huawei, HiSilicon, 3GPP TSG RAN WG1 Meeting #86,Gothenburg, Sweden</b:JournalName>
    <b:RefOrder>7</b:RefOrder>
  </b:Source>
  <b:Source>
    <b:Tag>NTT1610086</b:Tag>
    <b:SourceType>JournalArticle</b:SourceType>
    <b:Guid>{B5FCD45C-A9E4-412B-95F8-3CEB483DF5CA}</b:Guid>
    <b:Title>Dynamic TDD in dense urban scenario</b:Title>
    <b:Year>10-14 Oct. 2016</b:Year>
    <b:Author>
      <b:Author>
        <b:NameList>
          <b:Person>
            <b:Last>R1-1610086</b:Last>
          </b:Person>
        </b:NameList>
      </b:Author>
    </b:Author>
    <b:JournalName>NTT DOCOMO, Inc. 3GPP TSG RAN WG1 Meeting #86BIS, Lisbon, Portugal</b:JournalName>
    <b:RefOrder>8</b:RefOrder>
  </b:Source>
  <b:Source>
    <b:Tag>Samsung1609125</b:Tag>
    <b:SourceType>JournalArticle</b:SourceType>
    <b:Guid>{826903AF-8291-424E-94AC-B9587726E183}</b:Guid>
    <b:Title>Inter-cell interference management for uncoordinated TDD</b:Title>
    <b:Year>10-14 Oct. 2016</b:Year>
    <b:Author>
      <b:Author>
        <b:NameList>
          <b:Person>
            <b:Last>R1-1609125</b:Last>
          </b:Person>
        </b:NameList>
      </b:Author>
    </b:Author>
    <b:JournalName>Samsung, 3GPP TSG RAN WG1 Meeting #86BIS, Lisbon, Portugal</b:JournalName>
    <b:RefOrder>9</b:RefOrder>
  </b:Source>
  <b:Source>
    <b:Tag>NTT1610087</b:Tag>
    <b:SourceType>JournalArticle</b:SourceType>
    <b:Guid>{5F88FCDC-E893-4DB2-8A2B-1FE130FDBFFE}</b:Guid>
    <b:Title>Initial evaluation results of dynamic TDD</b:Title>
    <b:Year>10-14 Oct. 2016</b:Year>
    <b:Author>
      <b:Author>
        <b:NameList>
          <b:Person>
            <b:Last>R1-1610087</b:Last>
          </b:Person>
        </b:NameList>
      </b:Author>
    </b:Author>
    <b:JournalName>NTT DOCOMO, Inc. 3GPP TSG RAN WG1 Meeting #86BIS, Lisbon, Portugal</b:JournalName>
    <b:RefOrder>10</b:RefOrder>
  </b:Source>
</b:Sources>
</file>

<file path=customXml/itemProps1.xml><?xml version="1.0" encoding="utf-8"?>
<ds:datastoreItem xmlns:ds="http://schemas.openxmlformats.org/officeDocument/2006/customXml" ds:itemID="{891A638C-C707-4B5E-805F-3BB40E02C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1164</Words>
  <Characters>6640</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7789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2016-11-04T00:14:00Z</dcterms:created>
  <dcterms:modified xsi:type="dcterms:W3CDTF">2016-11-04T14:31:00Z</dcterms:modified>
</cp:coreProperties>
</file>